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072"/>
        </w:tabs>
        <w:spacing w:before="120" w:after="120"/>
        <w:rPr>
          <w:b/>
          <w:sz w:val="24"/>
          <w:szCs w:val="24"/>
        </w:rPr>
      </w:pPr>
      <w:r>
        <w:rPr>
          <w:rFonts w:eastAsia="Batang"/>
          <w:b/>
          <w:sz w:val="24"/>
          <w:szCs w:val="24"/>
          <w:lang w:eastAsia="ja-JP"/>
        </w:rPr>
        <w:t>3GPP TSG RAN WG1 #10</w:t>
      </w:r>
      <w:r>
        <w:rPr>
          <w:b/>
          <w:sz w:val="24"/>
          <w:szCs w:val="24"/>
        </w:rPr>
        <w:t>7</w:t>
      </w:r>
      <w:r>
        <w:rPr>
          <w:rFonts w:eastAsia="Batang"/>
          <w:b/>
          <w:sz w:val="24"/>
          <w:szCs w:val="24"/>
          <w:lang w:eastAsia="ja-JP"/>
        </w:rPr>
        <w:t>-e</w:t>
      </w:r>
      <w:r>
        <w:rPr>
          <w:rFonts w:eastAsia="Batang"/>
          <w:b/>
          <w:sz w:val="24"/>
          <w:szCs w:val="24"/>
          <w:lang w:eastAsia="ja-JP"/>
        </w:rPr>
        <w:tab/>
      </w:r>
      <w:r>
        <w:rPr>
          <w:rFonts w:eastAsia="Batang"/>
          <w:b/>
          <w:sz w:val="24"/>
          <w:szCs w:val="24"/>
          <w:lang w:eastAsia="ja-JP"/>
        </w:rPr>
        <w:tab/>
      </w:r>
      <w:bookmarkStart w:id="0" w:name="OLE_LINK3"/>
      <w:r>
        <w:rPr>
          <w:rFonts w:eastAsia="Batang"/>
          <w:b/>
          <w:sz w:val="24"/>
          <w:szCs w:val="24"/>
          <w:lang w:eastAsia="ja-JP"/>
        </w:rPr>
        <w:t xml:space="preserve">     R1-21</w:t>
      </w:r>
      <w:bookmarkEnd w:id="0"/>
      <w:r>
        <w:rPr>
          <w:rFonts w:eastAsia="Batang"/>
          <w:b/>
          <w:sz w:val="24"/>
          <w:szCs w:val="24"/>
          <w:lang w:eastAsia="ja-JP"/>
        </w:rPr>
        <w:t>10938</w:t>
      </w:r>
    </w:p>
    <w:p>
      <w:pPr>
        <w:tabs>
          <w:tab w:val="center" w:pos="4536"/>
          <w:tab w:val="right" w:pos="9072"/>
        </w:tabs>
        <w:spacing w:before="120" w:after="120"/>
        <w:rPr>
          <w:rFonts w:eastAsia="Batang"/>
          <w:b/>
          <w:sz w:val="24"/>
          <w:szCs w:val="24"/>
          <w:lang w:eastAsia="ja-JP"/>
        </w:rPr>
      </w:pPr>
      <w:r>
        <w:rPr>
          <w:rFonts w:eastAsia="Batang"/>
          <w:b/>
          <w:sz w:val="24"/>
          <w:szCs w:val="24"/>
          <w:lang w:eastAsia="ja-JP"/>
        </w:rPr>
        <w:t xml:space="preserve">e-Meeting, </w:t>
      </w:r>
      <w:r>
        <w:rPr>
          <w:b/>
          <w:sz w:val="24"/>
          <w:szCs w:val="24"/>
        </w:rPr>
        <w:t>Nov.</w:t>
      </w:r>
      <w:r>
        <w:rPr>
          <w:rFonts w:eastAsia="Batang"/>
          <w:b/>
          <w:sz w:val="24"/>
          <w:szCs w:val="24"/>
          <w:lang w:eastAsia="ja-JP"/>
        </w:rPr>
        <w:t xml:space="preserve"> </w:t>
      </w:r>
      <w:r>
        <w:rPr>
          <w:rFonts w:hint="eastAsia"/>
          <w:b/>
          <w:sz w:val="24"/>
          <w:szCs w:val="24"/>
        </w:rPr>
        <w:t>11</w:t>
      </w:r>
      <w:r>
        <w:rPr>
          <w:rFonts w:eastAsia="Batang"/>
          <w:b/>
          <w:sz w:val="24"/>
          <w:szCs w:val="24"/>
          <w:vertAlign w:val="superscript"/>
          <w:lang w:eastAsia="ja-JP"/>
        </w:rPr>
        <w:t>th</w:t>
      </w:r>
      <w:r>
        <w:rPr>
          <w:rFonts w:eastAsia="Batang"/>
          <w:b/>
          <w:sz w:val="24"/>
          <w:szCs w:val="24"/>
          <w:lang w:eastAsia="ja-JP"/>
        </w:rPr>
        <w:t xml:space="preserve"> – </w:t>
      </w:r>
      <w:r>
        <w:rPr>
          <w:rFonts w:hint="eastAsia"/>
          <w:b/>
          <w:sz w:val="24"/>
          <w:szCs w:val="24"/>
        </w:rPr>
        <w:t>19</w:t>
      </w:r>
      <w:r>
        <w:rPr>
          <w:rFonts w:eastAsia="Batang"/>
          <w:b/>
          <w:sz w:val="24"/>
          <w:szCs w:val="24"/>
          <w:vertAlign w:val="superscript"/>
          <w:lang w:eastAsia="ja-JP"/>
        </w:rPr>
        <w:t>th</w:t>
      </w:r>
      <w:r>
        <w:rPr>
          <w:rFonts w:eastAsia="Batang"/>
          <w:b/>
          <w:sz w:val="24"/>
          <w:szCs w:val="24"/>
          <w:lang w:eastAsia="ja-JP"/>
        </w:rPr>
        <w:t>, 2021</w:t>
      </w:r>
    </w:p>
    <w:p>
      <w:pPr>
        <w:tabs>
          <w:tab w:val="center" w:pos="4536"/>
          <w:tab w:val="right" w:pos="9072"/>
        </w:tabs>
        <w:spacing w:before="120" w:after="120"/>
        <w:rPr>
          <w:b/>
          <w:sz w:val="22"/>
          <w:szCs w:val="22"/>
        </w:rPr>
      </w:pPr>
    </w:p>
    <w:p>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r>
      <w:r>
        <w:rPr>
          <w:b/>
          <w:sz w:val="22"/>
          <w:szCs w:val="22"/>
        </w:rPr>
        <w:t>ZTE, Sanechips</w:t>
      </w:r>
    </w:p>
    <w:p>
      <w:pPr>
        <w:tabs>
          <w:tab w:val="left" w:pos="1985"/>
        </w:tabs>
        <w:spacing w:before="120" w:after="120" w:line="240" w:lineRule="auto"/>
        <w:ind w:left="1980" w:hanging="1980"/>
        <w:rPr>
          <w:b/>
          <w:sz w:val="22"/>
          <w:szCs w:val="22"/>
        </w:rPr>
      </w:pPr>
      <w:r>
        <w:rPr>
          <w:b/>
          <w:sz w:val="22"/>
          <w:szCs w:val="22"/>
        </w:rPr>
        <w:t>Title:</w:t>
      </w:r>
      <w:r>
        <w:rPr>
          <w:b/>
          <w:sz w:val="22"/>
          <w:szCs w:val="22"/>
        </w:rPr>
        <w:tab/>
      </w:r>
      <w:r>
        <w:rPr>
          <w:b/>
          <w:sz w:val="22"/>
          <w:szCs w:val="22"/>
        </w:rPr>
        <w:t>TRS for RRC idle and inactive UEs</w:t>
      </w:r>
    </w:p>
    <w:p>
      <w:pPr>
        <w:tabs>
          <w:tab w:val="left" w:pos="1985"/>
        </w:tabs>
        <w:spacing w:before="120" w:after="120" w:line="240" w:lineRule="auto"/>
        <w:rPr>
          <w:b/>
          <w:sz w:val="22"/>
          <w:szCs w:val="22"/>
        </w:rPr>
      </w:pPr>
      <w:r>
        <w:rPr>
          <w:b/>
          <w:sz w:val="22"/>
          <w:szCs w:val="22"/>
          <w:lang w:val="pt-BR"/>
        </w:rPr>
        <w:t>Agenda item:</w:t>
      </w:r>
      <w:r>
        <w:rPr>
          <w:b/>
          <w:sz w:val="22"/>
          <w:szCs w:val="22"/>
          <w:lang w:val="pt-BR"/>
        </w:rPr>
        <w:tab/>
      </w:r>
      <w:r>
        <w:rPr>
          <w:b/>
          <w:sz w:val="22"/>
          <w:szCs w:val="22"/>
          <w:lang w:val="pt-BR"/>
        </w:rPr>
        <w:t>8.7.1.2</w:t>
      </w:r>
    </w:p>
    <w:p>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spacing w:before="120" w:after="120"/>
        <w:rPr>
          <w:b/>
        </w:rPr>
      </w:pPr>
      <w:r>
        <w:rPr>
          <w:b/>
        </w:rPr>
        <w:t>Introduction</w:t>
      </w:r>
    </w:p>
    <w:p>
      <w:pPr>
        <w:widowControl w:val="0"/>
        <w:spacing w:before="120" w:after="120"/>
        <w:rPr>
          <w:szCs w:val="21"/>
        </w:rPr>
      </w:pPr>
      <w:r>
        <w:rPr>
          <w:szCs w:val="21"/>
        </w:rPr>
        <w:t>In</w:t>
      </w:r>
      <w:r>
        <w:rPr>
          <w:rFonts w:hint="eastAsia"/>
          <w:szCs w:val="21"/>
        </w:rPr>
        <w:t xml:space="preserve"> </w:t>
      </w:r>
      <w:r>
        <w:rPr>
          <w:szCs w:val="21"/>
        </w:rPr>
        <w:t>the 3GPP TSG RAN1</w:t>
      </w:r>
      <w:r>
        <w:rPr>
          <w:rFonts w:hint="eastAsia"/>
          <w:szCs w:val="21"/>
        </w:rPr>
        <w:t>#</w:t>
      </w:r>
      <w:r>
        <w:rPr>
          <w:szCs w:val="21"/>
        </w:rPr>
        <w:t>106b-e meeting</w:t>
      </w:r>
      <w:r>
        <w:rPr>
          <w:rFonts w:hint="eastAsia"/>
          <w:szCs w:val="21"/>
        </w:rPr>
        <w:t xml:space="preserve"> </w:t>
      </w:r>
      <w:r>
        <w:rPr>
          <w:szCs w:val="21"/>
        </w:rPr>
        <w:fldChar w:fldCharType="begin"/>
      </w:r>
      <w:r>
        <w:rPr>
          <w:szCs w:val="21"/>
        </w:rPr>
        <w:instrText xml:space="preserve"> </w:instrText>
      </w:r>
      <w:r>
        <w:rPr>
          <w:rFonts w:hint="eastAsia"/>
          <w:szCs w:val="21"/>
        </w:rPr>
        <w:instrText xml:space="preserve">REF _Ref85704416 \n \h</w:instrText>
      </w:r>
      <w:r>
        <w:rPr>
          <w:szCs w:val="21"/>
        </w:rPr>
        <w:instrText xml:space="preserve"> </w:instrText>
      </w:r>
      <w:r>
        <w:rPr>
          <w:szCs w:val="21"/>
        </w:rPr>
        <w:fldChar w:fldCharType="separate"/>
      </w:r>
      <w:r>
        <w:rPr>
          <w:szCs w:val="21"/>
        </w:rPr>
        <w:t>[1]</w:t>
      </w:r>
      <w:r>
        <w:rPr>
          <w:szCs w:val="21"/>
        </w:rPr>
        <w:fldChar w:fldCharType="end"/>
      </w:r>
      <w:r>
        <w:rPr>
          <w:szCs w:val="21"/>
        </w:rPr>
        <w:t>, agreements about TRS for idle/inactive state UE we</w:t>
      </w:r>
      <w:r>
        <w:rPr>
          <w:rFonts w:hint="eastAsia"/>
          <w:szCs w:val="21"/>
        </w:rPr>
        <w:t>re</w:t>
      </w:r>
      <w:r>
        <w:rPr>
          <w:szCs w:val="21"/>
        </w:rPr>
        <w:t xml:space="preserve"> reached</w:t>
      </w:r>
      <w:r>
        <w:rPr>
          <w:rFonts w:hint="eastAsia"/>
          <w:szCs w:val="21"/>
        </w:rPr>
        <w:t xml:space="preserve"> as follows.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9576" w:type="dxa"/>
          </w:tcPr>
          <w:p>
            <w:pPr>
              <w:spacing w:before="120" w:after="0" w:afterLines="0"/>
              <w:rPr>
                <w:rFonts w:eastAsia="Gulim"/>
                <w:bCs/>
              </w:rPr>
            </w:pPr>
            <w:r>
              <w:rPr>
                <w:rFonts w:eastAsia="Gulim"/>
                <w:bCs/>
              </w:rPr>
              <w:t>Conclusion</w:t>
            </w:r>
          </w:p>
          <w:p>
            <w:pPr>
              <w:autoSpaceDE w:val="0"/>
              <w:autoSpaceDN w:val="0"/>
              <w:snapToGrid w:val="0"/>
              <w:spacing w:before="0" w:beforeLines="0" w:after="0" w:afterLines="0"/>
              <w:rPr>
                <w:rFonts w:eastAsia="Gulim"/>
                <w:bCs/>
                <w:strike/>
              </w:rPr>
            </w:pPr>
            <w:r>
              <w:rPr>
                <w:rFonts w:eastAsia="Gulim"/>
                <w:bCs/>
              </w:rPr>
              <w:t>No consensus to support SIB based signaling for availability information of TRS/CSI-RS occasions for idle/inactive UEs</w:t>
            </w:r>
          </w:p>
          <w:p>
            <w:pPr>
              <w:autoSpaceDE w:val="0"/>
              <w:autoSpaceDN w:val="0"/>
              <w:snapToGrid w:val="0"/>
              <w:spacing w:before="120" w:after="0" w:afterLines="0"/>
              <w:rPr>
                <w:rFonts w:eastAsia="等线"/>
                <w:bCs/>
                <w:highlight w:val="darkYellow"/>
              </w:rPr>
            </w:pPr>
            <w:r>
              <w:rPr>
                <w:rFonts w:hint="eastAsia" w:eastAsia="等线"/>
                <w:bCs/>
                <w:highlight w:val="darkYellow"/>
              </w:rPr>
              <w:t>Working</w:t>
            </w:r>
            <w:r>
              <w:rPr>
                <w:rFonts w:eastAsia="等线"/>
                <w:bCs/>
                <w:highlight w:val="darkYellow"/>
              </w:rPr>
              <w:t xml:space="preserve"> </w:t>
            </w:r>
            <w:r>
              <w:rPr>
                <w:rFonts w:hint="eastAsia" w:eastAsia="等线"/>
                <w:bCs/>
                <w:highlight w:val="darkYellow"/>
              </w:rPr>
              <w:t>Assumption</w:t>
            </w:r>
          </w:p>
          <w:p>
            <w:pPr>
              <w:autoSpaceDE w:val="0"/>
              <w:autoSpaceDN w:val="0"/>
              <w:snapToGrid w:val="0"/>
              <w:spacing w:before="0" w:beforeLines="0" w:after="120"/>
              <w:rPr>
                <w:rFonts w:eastAsia="MS Mincho"/>
                <w:bCs/>
                <w:lang w:eastAsia="ja-JP"/>
              </w:rPr>
            </w:pPr>
            <w:r>
              <w:rPr>
                <w:rFonts w:eastAsia="MS Mincho"/>
                <w:bCs/>
                <w:lang w:eastAsia="ja-JP"/>
              </w:rPr>
              <w:t xml:space="preserve">If TRS resource is configured in SIB, </w:t>
            </w:r>
            <w:r>
              <w:rPr>
                <w:lang w:eastAsia="ko-KR"/>
              </w:rPr>
              <w:t>L1 based availability</w:t>
            </w:r>
            <w:r>
              <w:rPr>
                <w:rFonts w:eastAsia="MS Mincho"/>
                <w:bCs/>
                <w:lang w:eastAsia="ja-JP"/>
              </w:rPr>
              <w:t xml:space="preserve"> indication is always enabled based on the configuration. </w:t>
            </w:r>
          </w:p>
          <w:p>
            <w:pPr>
              <w:shd w:val="clear" w:color="auto" w:fill="FFFFFF"/>
              <w:spacing w:before="120" w:after="120" w:line="233" w:lineRule="atLeast"/>
              <w:rPr>
                <w:rFonts w:ascii="Calibri" w:hAnsi="Calibri" w:cs="Calibri"/>
                <w:color w:val="000000"/>
                <w:sz w:val="22"/>
                <w:szCs w:val="22"/>
                <w:highlight w:val="green"/>
              </w:rPr>
            </w:pPr>
            <w:r>
              <w:rPr>
                <w:b/>
                <w:bCs/>
                <w:color w:val="000000"/>
                <w:highlight w:val="green"/>
                <w:shd w:val="clear" w:color="auto" w:fill="FFFF00"/>
              </w:rPr>
              <w:t>Agreement</w:t>
            </w:r>
          </w:p>
          <w:p>
            <w:pPr>
              <w:shd w:val="clear" w:color="auto" w:fill="FFFFFF"/>
              <w:spacing w:before="0" w:beforeLines="0" w:after="0" w:afterLines="0"/>
              <w:rPr>
                <w:rFonts w:ascii="Calibri" w:hAnsi="Calibri" w:cs="Calibri"/>
                <w:color w:val="000000"/>
                <w:sz w:val="22"/>
                <w:szCs w:val="22"/>
              </w:rPr>
            </w:pPr>
            <w:r>
              <w:rPr>
                <w:color w:val="000000"/>
              </w:rPr>
              <w:t>For L1 based availability indication of TRS/CSI-RS at the configured occasion(s) to the idle/inactive UEs, support availability</w:t>
            </w:r>
            <w:r>
              <w:rPr>
                <w:strike/>
                <w:color w:val="000000"/>
              </w:rPr>
              <w:t> </w:t>
            </w:r>
            <w:r>
              <w:rPr>
                <w:color w:val="000000"/>
              </w:rPr>
              <w:t>information for configured RS resources using a bitmap. where each bit indicates whether associated TRS resource(s) are available.</w:t>
            </w:r>
          </w:p>
          <w:p>
            <w:pPr>
              <w:numPr>
                <w:ilvl w:val="0"/>
                <w:numId w:val="8"/>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support L1 availability indication at an occasion can provide availability information RS resources with QCL references not confined to be the same as for the L1 availability indication occasion</w:t>
            </w:r>
          </w:p>
          <w:p>
            <w:pPr>
              <w:numPr>
                <w:ilvl w:val="1"/>
                <w:numId w:val="8"/>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FFS associated TRS resource(s) per bit, e.g. a bit is associated with a TRS resource set</w:t>
            </w:r>
          </w:p>
          <w:p>
            <w:pPr>
              <w:numPr>
                <w:ilvl w:val="1"/>
                <w:numId w:val="8"/>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Bitmap size is up to X bits</w:t>
            </w:r>
          </w:p>
          <w:p>
            <w:pPr>
              <w:numPr>
                <w:ilvl w:val="2"/>
                <w:numId w:val="8"/>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X = [6] for paging PDCCH based L1 availability indication.</w:t>
            </w:r>
          </w:p>
          <w:p>
            <w:pPr>
              <w:numPr>
                <w:ilvl w:val="2"/>
                <w:numId w:val="8"/>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FFS X for PEI DCI based L1 availability indication</w:t>
            </w:r>
          </w:p>
          <w:p>
            <w:pPr>
              <w:numPr>
                <w:ilvl w:val="2"/>
                <w:numId w:val="8"/>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FFS details about how to configure the DCI field: e.g. start and length of bitmap (e.g. explicitly/implicitly configured)</w:t>
            </w:r>
          </w:p>
          <w:p>
            <w:pPr>
              <w:numPr>
                <w:ilvl w:val="0"/>
                <w:numId w:val="8"/>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for paging PDCCH based L1 availability indication, support L1 availability indication at an occasion can provide availability information for all configured RS resources</w:t>
            </w:r>
          </w:p>
          <w:p>
            <w:pPr>
              <w:numPr>
                <w:ilvl w:val="1"/>
                <w:numId w:val="8"/>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FFS whether this needs to be supported regardless of the number of beams or for some configured RS resources</w:t>
            </w:r>
          </w:p>
          <w:p>
            <w:pPr>
              <w:numPr>
                <w:ilvl w:val="0"/>
                <w:numId w:val="8"/>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FFS: PEI DCI provides L1 availability indication information only for RS resources with QCL references to be the same as for the L1 availability indication occasion</w:t>
            </w:r>
          </w:p>
          <w:p>
            <w:pPr>
              <w:numPr>
                <w:ilvl w:val="0"/>
                <w:numId w:val="8"/>
              </w:numPr>
              <w:shd w:val="clear" w:color="auto" w:fill="FFFFFF"/>
              <w:spacing w:before="0" w:beforeLines="0" w:after="0" w:afterLines="0" w:line="240" w:lineRule="auto"/>
              <w:jc w:val="left"/>
              <w:rPr>
                <w:rFonts w:ascii="Calibri" w:hAnsi="Calibri" w:cs="Calibri"/>
                <w:color w:val="000000"/>
                <w:sz w:val="22"/>
                <w:szCs w:val="22"/>
              </w:rPr>
            </w:pPr>
            <w:r>
              <w:rPr>
                <w:rFonts w:eastAsia="Microsoft YaHei UI"/>
                <w:color w:val="000000"/>
              </w:rPr>
              <w:t>FFS: indication of unavailability</w:t>
            </w:r>
          </w:p>
          <w:p>
            <w:pPr>
              <w:shd w:val="clear" w:color="auto" w:fill="FFFFFF"/>
              <w:spacing w:before="120" w:after="120" w:line="233" w:lineRule="atLeast"/>
              <w:rPr>
                <w:rFonts w:ascii="Calibri" w:hAnsi="Calibri" w:cs="Calibri"/>
                <w:color w:val="000000"/>
                <w:sz w:val="22"/>
                <w:szCs w:val="22"/>
                <w:highlight w:val="green"/>
              </w:rPr>
            </w:pPr>
            <w:r>
              <w:rPr>
                <w:b/>
                <w:bCs/>
                <w:color w:val="000000"/>
                <w:highlight w:val="green"/>
                <w:shd w:val="clear" w:color="auto" w:fill="FFFF00"/>
              </w:rPr>
              <w:t>Agreement</w:t>
            </w:r>
          </w:p>
          <w:p>
            <w:pPr>
              <w:shd w:val="clear" w:color="auto" w:fill="FFFFFF"/>
              <w:spacing w:before="0" w:beforeLines="0" w:after="0" w:afterLines="0"/>
              <w:rPr>
                <w:rFonts w:ascii="Calibri" w:hAnsi="Calibri" w:cs="Calibri"/>
                <w:color w:val="000000"/>
                <w:sz w:val="22"/>
                <w:szCs w:val="22"/>
              </w:rPr>
            </w:pPr>
            <w:r>
              <w:rPr>
                <w:color w:val="000000"/>
              </w:rPr>
              <w:t>At least for paging PDCCH based L1 availability indication of TRS/CSI-RS at the configured occasion(s) to the idle/inactive UEs, the L1 availability indication is valid for a time duration starting from a reference point, where</w:t>
            </w:r>
          </w:p>
          <w:p>
            <w:pPr>
              <w:numPr>
                <w:ilvl w:val="0"/>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the time duration is a validity duration configured by higher layer,</w:t>
            </w:r>
          </w:p>
          <w:p>
            <w:pPr>
              <w:numPr>
                <w:ilvl w:val="1"/>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FFS applicable values, e.g. # of DRX cycles, or multiple of default paging cycle duration (i.e. modification period)</w:t>
            </w:r>
          </w:p>
          <w:p>
            <w:pPr>
              <w:numPr>
                <w:ilvl w:val="1"/>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FFS UE doesn’t expect inconsistent L1 based indication during the time duration</w:t>
            </w:r>
          </w:p>
          <w:p>
            <w:pPr>
              <w:numPr>
                <w:ilvl w:val="0"/>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the reference point for start of the validity duration is one of the following alternatives:</w:t>
            </w:r>
          </w:p>
          <w:p>
            <w:pPr>
              <w:numPr>
                <w:ilvl w:val="1"/>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Alt1: SFN of the first PF from the next DRX cycle</w:t>
            </w:r>
          </w:p>
          <w:p>
            <w:pPr>
              <w:numPr>
                <w:ilvl w:val="1"/>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Alt2: SFN of the first PF from the current DRX cycle where UE receives the indication</w:t>
            </w:r>
          </w:p>
          <w:p>
            <w:pPr>
              <w:numPr>
                <w:ilvl w:val="1"/>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Alt3: based on SFN configured by higher layer, i.e. modification period configured as multiple of default paging cycle duration</w:t>
            </w:r>
          </w:p>
          <w:p>
            <w:pPr>
              <w:numPr>
                <w:ilvl w:val="1"/>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Alt4: start of the PF for the PO where UE receives the indication</w:t>
            </w:r>
          </w:p>
          <w:p>
            <w:pPr>
              <w:numPr>
                <w:ilvl w:val="1"/>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Note: the DRX cycle in Alt1 and Alt2 is the default paging cycle broadcast in SIB</w:t>
            </w:r>
          </w:p>
          <w:p>
            <w:pPr>
              <w:numPr>
                <w:ilvl w:val="1"/>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Note: The SFN for the first PF is </w:t>
            </w:r>
            <w:r>
              <w:rPr>
                <w:rFonts w:eastAsia="Microsoft YaHei UI"/>
                <w:strike/>
                <w:color w:val="FF0000"/>
              </w:rPr>
              <w:t>for (UE mod N) = 0, and can be</w:t>
            </w:r>
            <w:r>
              <w:rPr>
                <w:rFonts w:eastAsia="Microsoft YaHei UI"/>
                <w:color w:val="FF0000"/>
              </w:rPr>
              <w:t> </w:t>
            </w:r>
            <w:r>
              <w:rPr>
                <w:rFonts w:eastAsia="Microsoft YaHei UI"/>
                <w:color w:val="000000"/>
              </w:rPr>
              <w:t>calculated by (SFN + PF_offset) mod T = 0</w:t>
            </w:r>
          </w:p>
          <w:p>
            <w:pPr>
              <w:numPr>
                <w:ilvl w:val="0"/>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the time duration can be optionally configured by gNB</w:t>
            </w:r>
          </w:p>
          <w:p>
            <w:pPr>
              <w:numPr>
                <w:ilvl w:val="1"/>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when the time duration is not configured, one of the following alternatives can be considered:</w:t>
            </w:r>
          </w:p>
          <w:p>
            <w:pPr>
              <w:numPr>
                <w:ilvl w:val="2"/>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Alt1: the availability indication is valid until when the UE receives another availability indication.</w:t>
            </w:r>
          </w:p>
          <w:p>
            <w:pPr>
              <w:numPr>
                <w:ilvl w:val="2"/>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Alt2: </w:t>
            </w:r>
            <w:r>
              <w:rPr>
                <w:rFonts w:eastAsia="Microsoft YaHei UI"/>
                <w:color w:val="000000"/>
                <w:lang w:val="fi-FI"/>
              </w:rPr>
              <w:t>the availability indication is valid until L1 availability indication is changed by network</w:t>
            </w:r>
          </w:p>
          <w:p>
            <w:pPr>
              <w:numPr>
                <w:ilvl w:val="2"/>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Alt3: default time duration e.g. default paging cycle</w:t>
            </w:r>
          </w:p>
          <w:p>
            <w:pPr>
              <w:numPr>
                <w:ilvl w:val="0"/>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FFS whether and how to handle the miss detection issue of L1 signaling</w:t>
            </w:r>
          </w:p>
          <w:p>
            <w:pPr>
              <w:shd w:val="clear" w:color="auto" w:fill="FFFFFF"/>
              <w:spacing w:before="120" w:after="120" w:line="233" w:lineRule="atLeast"/>
              <w:rPr>
                <w:b/>
                <w:bCs/>
                <w:color w:val="000000"/>
                <w:highlight w:val="green"/>
                <w:shd w:val="clear" w:color="auto" w:fill="FFFF00"/>
              </w:rPr>
            </w:pPr>
          </w:p>
          <w:p>
            <w:pPr>
              <w:shd w:val="clear" w:color="auto" w:fill="FFFFFF"/>
              <w:spacing w:before="120" w:after="0" w:afterLines="0" w:line="233" w:lineRule="atLeast"/>
              <w:rPr>
                <w:rFonts w:ascii="Calibri" w:hAnsi="Calibri" w:cs="Calibri"/>
                <w:color w:val="000000"/>
                <w:sz w:val="22"/>
                <w:szCs w:val="22"/>
                <w:highlight w:val="green"/>
              </w:rPr>
            </w:pPr>
            <w:r>
              <w:rPr>
                <w:b/>
                <w:bCs/>
                <w:color w:val="000000"/>
                <w:highlight w:val="green"/>
                <w:shd w:val="clear" w:color="auto" w:fill="FFFF00"/>
              </w:rPr>
              <w:t>Agreement</w:t>
            </w:r>
          </w:p>
          <w:p>
            <w:pPr>
              <w:shd w:val="clear" w:color="auto" w:fill="FFFFFF"/>
              <w:spacing w:before="0" w:beforeLines="0" w:after="0" w:afterLines="0"/>
              <w:rPr>
                <w:rFonts w:ascii="Calibri" w:hAnsi="Calibri" w:cs="Calibri"/>
                <w:color w:val="000000"/>
                <w:sz w:val="22"/>
                <w:szCs w:val="22"/>
              </w:rPr>
            </w:pPr>
            <w:r>
              <w:rPr>
                <w:color w:val="000000"/>
              </w:rPr>
              <w:t>Configuration of TRS/CSI-RS occasion(s) for idle/inactive UEs include a list of one or more TRS resource sets, where:</w:t>
            </w:r>
          </w:p>
          <w:p>
            <w:pPr>
              <w:shd w:val="clear" w:color="auto" w:fill="FFFFFF"/>
              <w:spacing w:before="0" w:beforeLines="0" w:after="0" w:afterLines="0"/>
              <w:ind w:left="816" w:hanging="360"/>
              <w:rPr>
                <w:rFonts w:ascii="Microsoft YaHei UI" w:hAnsi="Microsoft YaHei UI" w:eastAsia="Microsoft YaHei UI" w:cs="宋体"/>
                <w:color w:val="000000"/>
                <w:szCs w:val="21"/>
              </w:rPr>
            </w:pPr>
            <w:r>
              <w:rPr>
                <w:rFonts w:ascii="Symbol" w:hAnsi="Symbol" w:eastAsia="Microsoft YaHei UI" w:cs="宋体"/>
                <w:color w:val="000000"/>
              </w:rPr>
              <w:t></w:t>
            </w:r>
            <w:r>
              <w:rPr>
                <w:rFonts w:eastAsia="Microsoft YaHei UI"/>
                <w:color w:val="000000"/>
                <w:sz w:val="14"/>
                <w:szCs w:val="14"/>
              </w:rPr>
              <w:t>        </w:t>
            </w:r>
            <w:r>
              <w:rPr>
                <w:rFonts w:eastAsia="Microsoft YaHei UI"/>
                <w:color w:val="000000"/>
              </w:rPr>
              <w:t>a TRS resource set can be configured to include</w:t>
            </w:r>
          </w:p>
          <w:p>
            <w:pPr>
              <w:shd w:val="clear" w:color="auto" w:fill="FFFFFF"/>
              <w:spacing w:before="0" w:beforeLines="0" w:after="0" w:afterLines="0"/>
              <w:ind w:left="1536" w:hanging="360"/>
              <w:rPr>
                <w:rFonts w:ascii="Microsoft YaHei UI" w:hAnsi="Microsoft YaHei UI" w:eastAsia="Microsoft YaHei UI" w:cs="宋体"/>
                <w:color w:val="000000"/>
                <w:szCs w:val="21"/>
              </w:rPr>
            </w:pPr>
            <w:r>
              <w:rPr>
                <w:rFonts w:ascii="Courier New" w:hAnsi="Courier New" w:eastAsia="Microsoft YaHei UI" w:cs="Courier New"/>
                <w:color w:val="000000"/>
              </w:rPr>
              <w:t>o</w:t>
            </w:r>
            <w:r>
              <w:rPr>
                <w:rFonts w:eastAsia="Microsoft YaHei UI"/>
                <w:color w:val="000000"/>
                <w:sz w:val="14"/>
                <w:szCs w:val="14"/>
              </w:rPr>
              <w:t>   </w:t>
            </w:r>
            <w:r>
              <w:rPr>
                <w:rFonts w:eastAsia="Microsoft YaHei UI"/>
                <w:color w:val="000000"/>
              </w:rPr>
              <w:t>a set of TRS resources up to two consecutive slots,</w:t>
            </w:r>
          </w:p>
          <w:p>
            <w:pPr>
              <w:shd w:val="clear" w:color="auto" w:fill="FFFFFF"/>
              <w:spacing w:before="0" w:beforeLines="0" w:after="0" w:afterLines="0"/>
              <w:ind w:left="2256" w:hanging="360"/>
              <w:rPr>
                <w:rFonts w:ascii="Microsoft YaHei UI" w:hAnsi="Microsoft YaHei UI" w:eastAsia="Microsoft YaHei UI" w:cs="宋体"/>
                <w:szCs w:val="21"/>
              </w:rPr>
            </w:pPr>
            <w:r>
              <w:rPr>
                <w:rFonts w:ascii="Wingdings" w:hAnsi="Wingdings" w:eastAsia="Microsoft YaHei UI" w:cs="宋体"/>
              </w:rPr>
              <w:t></w:t>
            </w:r>
            <w:r>
              <w:rPr>
                <w:rFonts w:eastAsia="Microsoft YaHei UI"/>
                <w:sz w:val="14"/>
                <w:szCs w:val="14"/>
              </w:rPr>
              <w:t>  </w:t>
            </w:r>
            <w:r>
              <w:rPr>
                <w:rFonts w:eastAsia="Microsoft YaHei UI"/>
              </w:rPr>
              <w:t>Note: a TRS resource is same as Rel-15/16, i.e. a CSI-RS in a symbol.</w:t>
            </w:r>
          </w:p>
          <w:p>
            <w:pPr>
              <w:shd w:val="clear" w:color="auto" w:fill="FFFFFF"/>
              <w:spacing w:before="0" w:beforeLines="0" w:after="0" w:afterLines="0"/>
              <w:ind w:left="1536" w:hanging="360"/>
              <w:rPr>
                <w:rFonts w:ascii="Microsoft YaHei UI" w:hAnsi="Microsoft YaHei UI" w:eastAsia="Microsoft YaHei UI" w:cs="宋体"/>
                <w:color w:val="000000"/>
                <w:szCs w:val="21"/>
              </w:rPr>
            </w:pPr>
            <w:r>
              <w:rPr>
                <w:rFonts w:ascii="Courier New" w:hAnsi="Courier New" w:eastAsia="Microsoft YaHei UI" w:cs="Courier New"/>
                <w:color w:val="000000"/>
              </w:rPr>
              <w:t>o</w:t>
            </w:r>
            <w:r>
              <w:rPr>
                <w:rFonts w:eastAsia="Microsoft YaHei UI"/>
                <w:color w:val="000000"/>
                <w:sz w:val="14"/>
                <w:szCs w:val="14"/>
              </w:rPr>
              <w:t>   </w:t>
            </w:r>
            <w:r>
              <w:rPr>
                <w:rFonts w:eastAsia="Microsoft YaHei UI"/>
                <w:color w:val="000000"/>
              </w:rPr>
              <w:t>at least common configuration parameters:</w:t>
            </w:r>
          </w:p>
          <w:p>
            <w:pPr>
              <w:shd w:val="clear" w:color="auto" w:fill="FFFFFF"/>
              <w:spacing w:before="0" w:beforeLines="0" w:after="0" w:afterLines="0"/>
              <w:ind w:left="2256" w:hanging="360"/>
              <w:rPr>
                <w:rFonts w:ascii="Microsoft YaHei UI" w:hAnsi="Microsoft YaHei UI" w:eastAsia="Microsoft YaHei UI" w:cs="宋体"/>
                <w:color w:val="000000"/>
                <w:szCs w:val="21"/>
              </w:rPr>
            </w:pPr>
            <w:r>
              <w:rPr>
                <w:rFonts w:ascii="Wingdings" w:hAnsi="Wingdings" w:eastAsia="Microsoft YaHei UI" w:cs="宋体"/>
                <w:color w:val="000000"/>
              </w:rPr>
              <w:t></w:t>
            </w:r>
            <w:r>
              <w:rPr>
                <w:rFonts w:eastAsia="Microsoft YaHei UI"/>
                <w:color w:val="000000"/>
                <w:sz w:val="14"/>
                <w:szCs w:val="14"/>
              </w:rPr>
              <w:t>  </w:t>
            </w:r>
            <w:r>
              <w:rPr>
                <w:rFonts w:eastAsia="Microsoft YaHei UI"/>
                <w:color w:val="000000"/>
              </w:rPr>
              <w:t>a QCL reference</w:t>
            </w:r>
          </w:p>
          <w:p>
            <w:pPr>
              <w:shd w:val="clear" w:color="auto" w:fill="FFFFFF"/>
              <w:spacing w:before="0" w:beforeLines="0" w:after="0" w:afterLines="0"/>
              <w:ind w:left="2256" w:hanging="360"/>
              <w:rPr>
                <w:rFonts w:ascii="Microsoft YaHei UI" w:hAnsi="Microsoft YaHei UI" w:eastAsia="Microsoft YaHei UI" w:cs="宋体"/>
                <w:color w:val="000000"/>
                <w:szCs w:val="21"/>
              </w:rPr>
            </w:pPr>
            <w:r>
              <w:rPr>
                <w:rFonts w:ascii="Wingdings" w:hAnsi="Wingdings" w:eastAsia="Microsoft YaHei UI" w:cs="宋体"/>
                <w:color w:val="000000"/>
              </w:rPr>
              <w:t></w:t>
            </w:r>
            <w:r>
              <w:rPr>
                <w:rFonts w:eastAsia="Microsoft YaHei UI"/>
                <w:color w:val="000000"/>
                <w:sz w:val="14"/>
                <w:szCs w:val="14"/>
              </w:rPr>
              <w:t>  </w:t>
            </w:r>
            <w:r>
              <w:rPr>
                <w:rFonts w:eastAsia="Microsoft YaHei UI"/>
                <w:color w:val="000000"/>
              </w:rPr>
              <w:t>firstOFDMSymbolInTimeDomain,</w:t>
            </w:r>
          </w:p>
          <w:p>
            <w:pPr>
              <w:shd w:val="clear" w:color="auto" w:fill="FFFFFF"/>
              <w:spacing w:before="0" w:beforeLines="0" w:after="0" w:afterLines="0"/>
              <w:ind w:left="2256" w:hanging="360"/>
              <w:rPr>
                <w:rFonts w:ascii="Microsoft YaHei UI" w:hAnsi="Microsoft YaHei UI" w:eastAsia="Microsoft YaHei UI" w:cs="宋体"/>
                <w:color w:val="000000"/>
                <w:szCs w:val="21"/>
              </w:rPr>
            </w:pPr>
            <w:r>
              <w:rPr>
                <w:rFonts w:ascii="Wingdings" w:hAnsi="Wingdings" w:eastAsia="Microsoft YaHei UI" w:cs="宋体"/>
                <w:color w:val="000000"/>
              </w:rPr>
              <w:t></w:t>
            </w:r>
            <w:r>
              <w:rPr>
                <w:rFonts w:eastAsia="Microsoft YaHei UI"/>
                <w:color w:val="000000"/>
                <w:sz w:val="14"/>
                <w:szCs w:val="14"/>
              </w:rPr>
              <w:t>  </w:t>
            </w:r>
            <w:r>
              <w:rPr>
                <w:rFonts w:eastAsia="Microsoft YaHei UI"/>
                <w:color w:val="000000"/>
              </w:rPr>
              <w:t>‘frequencyDomainAllocation for row1’, ‘startingRB’ ,‘nrofRBs’,’powerControlOffsetSS’, periodicityAndOffset’</w:t>
            </w:r>
          </w:p>
          <w:p>
            <w:pPr>
              <w:shd w:val="clear" w:color="auto" w:fill="FFFFFF"/>
              <w:spacing w:before="0" w:beforeLines="0" w:after="0" w:afterLines="0"/>
              <w:ind w:left="2256" w:hanging="360"/>
              <w:rPr>
                <w:rFonts w:ascii="Microsoft YaHei UI" w:hAnsi="Microsoft YaHei UI" w:eastAsia="Microsoft YaHei UI" w:cs="宋体"/>
                <w:color w:val="000000"/>
                <w:szCs w:val="21"/>
              </w:rPr>
            </w:pPr>
            <w:r>
              <w:rPr>
                <w:rFonts w:ascii="Wingdings" w:hAnsi="Wingdings" w:eastAsia="Microsoft YaHei UI" w:cs="宋体"/>
                <w:color w:val="000000"/>
              </w:rPr>
              <w:t></w:t>
            </w:r>
            <w:r>
              <w:rPr>
                <w:rFonts w:eastAsia="Microsoft YaHei UI"/>
                <w:color w:val="000000"/>
                <w:sz w:val="14"/>
                <w:szCs w:val="14"/>
              </w:rPr>
              <w:t>  </w:t>
            </w:r>
            <w:r>
              <w:rPr>
                <w:rFonts w:eastAsia="Microsoft YaHei UI"/>
                <w:color w:val="000000"/>
              </w:rPr>
              <w:t>FFS</w:t>
            </w:r>
          </w:p>
          <w:p>
            <w:pPr>
              <w:shd w:val="clear" w:color="auto" w:fill="FFFFFF"/>
              <w:spacing w:before="0" w:beforeLines="0" w:after="0" w:afterLines="0"/>
              <w:ind w:left="2976" w:hanging="360"/>
              <w:rPr>
                <w:rFonts w:ascii="Microsoft YaHei UI" w:hAnsi="Microsoft YaHei UI" w:eastAsia="Microsoft YaHei UI" w:cs="宋体"/>
                <w:color w:val="000000"/>
                <w:szCs w:val="21"/>
              </w:rPr>
            </w:pPr>
            <w:r>
              <w:rPr>
                <w:rFonts w:ascii="Symbol" w:hAnsi="Symbol" w:eastAsia="Microsoft YaHei UI" w:cs="宋体"/>
                <w:color w:val="000000"/>
              </w:rPr>
              <w:t></w:t>
            </w:r>
            <w:r>
              <w:rPr>
                <w:rFonts w:eastAsia="Microsoft YaHei UI"/>
                <w:color w:val="000000"/>
                <w:sz w:val="14"/>
                <w:szCs w:val="14"/>
              </w:rPr>
              <w:t>        </w:t>
            </w:r>
            <w:r>
              <w:rPr>
                <w:rFonts w:eastAsia="Microsoft YaHei UI"/>
                <w:color w:val="000000"/>
              </w:rPr>
              <w:t>scramblingID,</w:t>
            </w:r>
          </w:p>
          <w:p>
            <w:pPr>
              <w:shd w:val="clear" w:color="auto" w:fill="FFFFFF"/>
              <w:spacing w:before="0" w:beforeLines="0" w:after="0" w:afterLines="0"/>
              <w:ind w:left="2976" w:hanging="360"/>
              <w:rPr>
                <w:rFonts w:ascii="Microsoft YaHei UI" w:hAnsi="Microsoft YaHei UI" w:eastAsia="Microsoft YaHei UI" w:cs="宋体"/>
                <w:color w:val="000000"/>
                <w:szCs w:val="21"/>
              </w:rPr>
            </w:pPr>
            <w:r>
              <w:rPr>
                <w:rFonts w:ascii="Symbol" w:hAnsi="Symbol" w:eastAsia="Microsoft YaHei UI" w:cs="宋体"/>
                <w:color w:val="000000"/>
              </w:rPr>
              <w:t></w:t>
            </w:r>
            <w:r>
              <w:rPr>
                <w:rFonts w:eastAsia="Microsoft YaHei UI"/>
                <w:color w:val="000000"/>
                <w:sz w:val="14"/>
                <w:szCs w:val="14"/>
              </w:rPr>
              <w:t>        </w:t>
            </w:r>
            <w:r>
              <w:rPr>
                <w:rFonts w:eastAsia="Microsoft YaHei UI"/>
                <w:color w:val="000000"/>
              </w:rPr>
              <w:t>a TRS resource set ID, number of slots {1, 2} or number of symbols {2, 4} if supported</w:t>
            </w:r>
          </w:p>
          <w:p>
            <w:pPr>
              <w:shd w:val="clear" w:color="auto" w:fill="FFFFFF"/>
              <w:spacing w:before="0" w:beforeLines="0" w:after="0" w:afterLines="0"/>
              <w:ind w:left="816" w:hanging="360"/>
            </w:pPr>
            <w:r>
              <w:rPr>
                <w:rFonts w:ascii="Symbol" w:hAnsi="Symbol" w:eastAsia="Microsoft YaHei UI" w:cs="宋体"/>
                <w:color w:val="000000"/>
              </w:rPr>
              <w:t></w:t>
            </w:r>
            <w:r>
              <w:rPr>
                <w:rFonts w:eastAsia="Microsoft YaHei UI"/>
                <w:color w:val="000000"/>
                <w:sz w:val="14"/>
                <w:szCs w:val="14"/>
              </w:rPr>
              <w:t>        </w:t>
            </w:r>
            <w:r>
              <w:rPr>
                <w:rFonts w:eastAsia="Microsoft YaHei UI"/>
                <w:color w:val="000000"/>
              </w:rPr>
              <w:t>Note: the ‘TRS resource set’ configuration is not (necessarily) identical to ‘NZP-CSI-RS-ResourceSet’ configuration for TRS</w:t>
            </w:r>
            <w:r>
              <w:rPr>
                <w:rFonts w:eastAsia="Microsoft YaHei UI"/>
                <w:i/>
                <w:iCs/>
                <w:color w:val="000000"/>
              </w:rPr>
              <w:t> </w:t>
            </w:r>
            <w:r>
              <w:rPr>
                <w:rFonts w:eastAsia="Microsoft YaHei UI"/>
                <w:color w:val="000000"/>
              </w:rPr>
              <w:t>in R15/16.</w:t>
            </w:r>
          </w:p>
        </w:tc>
      </w:tr>
    </w:tbl>
    <w:p>
      <w:pPr>
        <w:pStyle w:val="61"/>
        <w:spacing w:before="120" w:after="120"/>
        <w:ind w:left="0" w:firstLine="0"/>
        <w:rPr>
          <w:sz w:val="20"/>
        </w:rPr>
      </w:pPr>
      <w:r>
        <w:rPr>
          <w:szCs w:val="21"/>
        </w:rPr>
        <w:t xml:space="preserve">In this contribution, more details about </w:t>
      </w:r>
      <w:r>
        <w:rPr>
          <w:rFonts w:hint="eastAsia"/>
          <w:szCs w:val="21"/>
        </w:rPr>
        <w:t>T</w:t>
      </w:r>
      <w:r>
        <w:rPr>
          <w:szCs w:val="21"/>
        </w:rPr>
        <w:t>RS</w:t>
      </w:r>
      <w:r>
        <w:rPr>
          <w:rFonts w:hint="eastAsia"/>
          <w:szCs w:val="21"/>
        </w:rPr>
        <w:t xml:space="preserve"> provided to UEs in RRC idle/inactive state </w:t>
      </w:r>
      <w:r>
        <w:rPr>
          <w:szCs w:val="21"/>
        </w:rPr>
        <w:t>are</w:t>
      </w:r>
      <w:r>
        <w:rPr>
          <w:rFonts w:hint="eastAsia"/>
          <w:szCs w:val="21"/>
        </w:rPr>
        <w:t xml:space="preserve"> </w:t>
      </w:r>
      <w:r>
        <w:rPr>
          <w:szCs w:val="21"/>
        </w:rPr>
        <w:t>discussed</w:t>
      </w:r>
      <w:r>
        <w:rPr>
          <w:sz w:val="20"/>
        </w:rPr>
        <w:t>.</w:t>
      </w:r>
    </w:p>
    <w:p>
      <w:pPr>
        <w:spacing w:before="120" w:after="120"/>
        <w:rPr>
          <w:sz w:val="20"/>
        </w:rPr>
      </w:pPr>
    </w:p>
    <w:p>
      <w:pPr>
        <w:pStyle w:val="2"/>
        <w:spacing w:before="120" w:after="120"/>
        <w:rPr>
          <w:b/>
        </w:rPr>
      </w:pPr>
      <w:r>
        <w:rPr>
          <w:b/>
        </w:rPr>
        <w:t>Availability indication</w:t>
      </w:r>
    </w:p>
    <w:p>
      <w:pPr>
        <w:spacing w:before="120" w:after="120"/>
        <w:rPr>
          <w:vanish/>
        </w:rPr>
      </w:pPr>
    </w:p>
    <w:p>
      <w:pPr>
        <w:widowControl w:val="0"/>
        <w:autoSpaceDE w:val="0"/>
        <w:autoSpaceDN w:val="0"/>
        <w:adjustRightInd w:val="0"/>
        <w:spacing w:before="120" w:after="120"/>
        <w:rPr>
          <w:b/>
          <w:szCs w:val="21"/>
        </w:rPr>
      </w:pPr>
    </w:p>
    <w:p>
      <w:pPr>
        <w:pStyle w:val="3"/>
        <w:numPr>
          <w:ilvl w:val="0"/>
          <w:numId w:val="0"/>
        </w:numPr>
        <w:spacing w:before="120" w:after="120" w:line="240" w:lineRule="auto"/>
        <w:ind w:left="1320" w:leftChars="270" w:right="210" w:hanging="753" w:hangingChars="268"/>
        <w:rPr>
          <w:b/>
          <w:szCs w:val="21"/>
        </w:rPr>
      </w:pPr>
      <w:r>
        <w:rPr>
          <w:b/>
          <w:szCs w:val="21"/>
        </w:rPr>
        <w:t>Indication content</w:t>
      </w:r>
    </w:p>
    <w:p>
      <w:pPr>
        <w:spacing w:before="120" w:after="120"/>
        <w:rPr>
          <w:szCs w:val="21"/>
        </w:rPr>
      </w:pPr>
      <w:r>
        <w:rPr>
          <w:szCs w:val="21"/>
        </w:rPr>
        <w:t xml:space="preserve">In RAN1#106b-e, the following was </w:t>
      </w:r>
      <w:r>
        <w:rPr>
          <w:rFonts w:hint="eastAsia"/>
          <w:szCs w:val="21"/>
        </w:rPr>
        <w:t xml:space="preserve">agreed </w:t>
      </w:r>
      <w:r>
        <w:rPr>
          <w:szCs w:val="21"/>
        </w:rPr>
        <w:t>regarding how to indicate availability / unavailability information of the TRS resources.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6" w:type="dxa"/>
          </w:tcPr>
          <w:p>
            <w:pPr>
              <w:spacing w:before="120" w:after="120"/>
              <w:rPr>
                <w:highlight w:val="green"/>
              </w:rPr>
            </w:pPr>
            <w:r>
              <w:rPr>
                <w:highlight w:val="green"/>
              </w:rPr>
              <w:t>Agreement:</w:t>
            </w:r>
          </w:p>
          <w:p>
            <w:pPr>
              <w:shd w:val="clear" w:color="auto" w:fill="FFFFFF"/>
              <w:spacing w:before="120" w:after="0" w:afterLines="0"/>
              <w:rPr>
                <w:rFonts w:ascii="Calibri" w:hAnsi="Calibri" w:cs="Calibri"/>
                <w:color w:val="000000"/>
                <w:sz w:val="22"/>
                <w:szCs w:val="22"/>
              </w:rPr>
            </w:pPr>
            <w:r>
              <w:rPr>
                <w:color w:val="000000"/>
              </w:rPr>
              <w:t>For L1 based availability indication of TRS/CSI-RS at the configured occasion(s) to the idle/inactive UEs, support availability</w:t>
            </w:r>
            <w:r>
              <w:rPr>
                <w:strike/>
                <w:color w:val="000000"/>
              </w:rPr>
              <w:t> </w:t>
            </w:r>
            <w:r>
              <w:rPr>
                <w:color w:val="000000"/>
              </w:rPr>
              <w:t>information for configured RS resources using a bitmap. where each bit indicates whether associated TRS resource(s) are available.</w:t>
            </w:r>
          </w:p>
          <w:p>
            <w:pPr>
              <w:numPr>
                <w:ilvl w:val="0"/>
                <w:numId w:val="8"/>
              </w:numPr>
              <w:shd w:val="clear" w:color="auto" w:fill="FFFFFF"/>
              <w:spacing w:beforeLines="0" w:after="0" w:afterLines="0" w:line="240" w:lineRule="auto"/>
              <w:jc w:val="left"/>
              <w:rPr>
                <w:rFonts w:ascii="Calibri" w:hAnsi="Calibri" w:eastAsia="Microsoft YaHei UI" w:cs="Calibri"/>
                <w:color w:val="000000"/>
                <w:sz w:val="22"/>
                <w:szCs w:val="22"/>
              </w:rPr>
            </w:pPr>
            <w:r>
              <w:rPr>
                <w:rFonts w:eastAsia="Microsoft YaHei UI"/>
                <w:color w:val="000000"/>
              </w:rPr>
              <w:t>support L1 availability indication at an occasion can provide availability information RS resources with QCL references not confined to be the same as for the L1 availability indication occasion</w:t>
            </w:r>
          </w:p>
          <w:p>
            <w:pPr>
              <w:numPr>
                <w:ilvl w:val="1"/>
                <w:numId w:val="8"/>
              </w:numPr>
              <w:shd w:val="clear" w:color="auto" w:fill="FFFFFF"/>
              <w:spacing w:beforeLines="0" w:after="0" w:afterLines="0" w:line="240" w:lineRule="auto"/>
              <w:jc w:val="left"/>
              <w:rPr>
                <w:rFonts w:ascii="Calibri" w:hAnsi="Calibri" w:eastAsia="Microsoft YaHei UI" w:cs="Calibri"/>
                <w:color w:val="000000"/>
                <w:sz w:val="22"/>
                <w:szCs w:val="22"/>
              </w:rPr>
            </w:pPr>
            <w:r>
              <w:rPr>
                <w:rFonts w:eastAsia="Microsoft YaHei UI"/>
                <w:color w:val="000000"/>
              </w:rPr>
              <w:t>FFS associated TRS resource(s) per bit, e.g. a bit is associated with a TRS resource set</w:t>
            </w:r>
          </w:p>
          <w:p>
            <w:pPr>
              <w:numPr>
                <w:ilvl w:val="1"/>
                <w:numId w:val="8"/>
              </w:numPr>
              <w:shd w:val="clear" w:color="auto" w:fill="FFFFFF"/>
              <w:spacing w:beforeLines="0" w:after="0" w:afterLines="0" w:line="240" w:lineRule="auto"/>
              <w:jc w:val="left"/>
              <w:rPr>
                <w:rFonts w:ascii="Calibri" w:hAnsi="Calibri" w:eastAsia="Microsoft YaHei UI" w:cs="Calibri"/>
                <w:color w:val="000000"/>
                <w:sz w:val="22"/>
                <w:szCs w:val="22"/>
              </w:rPr>
            </w:pPr>
            <w:r>
              <w:rPr>
                <w:rFonts w:eastAsia="Microsoft YaHei UI"/>
                <w:color w:val="000000"/>
              </w:rPr>
              <w:t>Bitmap size is up to X bits</w:t>
            </w:r>
          </w:p>
          <w:p>
            <w:pPr>
              <w:numPr>
                <w:ilvl w:val="2"/>
                <w:numId w:val="8"/>
              </w:numPr>
              <w:shd w:val="clear" w:color="auto" w:fill="FFFFFF"/>
              <w:spacing w:beforeLines="0" w:after="0" w:afterLines="0" w:line="240" w:lineRule="auto"/>
              <w:jc w:val="left"/>
              <w:rPr>
                <w:rFonts w:ascii="Calibri" w:hAnsi="Calibri" w:eastAsia="Microsoft YaHei UI" w:cs="Calibri"/>
                <w:color w:val="000000"/>
                <w:sz w:val="22"/>
                <w:szCs w:val="22"/>
              </w:rPr>
            </w:pPr>
            <w:r>
              <w:rPr>
                <w:rFonts w:eastAsia="Microsoft YaHei UI"/>
                <w:color w:val="000000"/>
              </w:rPr>
              <w:t>X = [6] for paging PDCCH based L1 availability indication.</w:t>
            </w:r>
          </w:p>
          <w:p>
            <w:pPr>
              <w:numPr>
                <w:ilvl w:val="2"/>
                <w:numId w:val="8"/>
              </w:numPr>
              <w:shd w:val="clear" w:color="auto" w:fill="FFFFFF"/>
              <w:spacing w:beforeLines="0" w:after="0" w:afterLines="0" w:line="240" w:lineRule="auto"/>
              <w:jc w:val="left"/>
              <w:rPr>
                <w:rFonts w:ascii="Calibri" w:hAnsi="Calibri" w:eastAsia="Microsoft YaHei UI" w:cs="Calibri"/>
                <w:color w:val="000000"/>
                <w:sz w:val="22"/>
                <w:szCs w:val="22"/>
              </w:rPr>
            </w:pPr>
            <w:r>
              <w:rPr>
                <w:rFonts w:eastAsia="Microsoft YaHei UI"/>
                <w:color w:val="000000"/>
              </w:rPr>
              <w:t>FFS X for PEI DCI based L1 availability indication</w:t>
            </w:r>
          </w:p>
          <w:p>
            <w:pPr>
              <w:numPr>
                <w:ilvl w:val="2"/>
                <w:numId w:val="8"/>
              </w:numPr>
              <w:shd w:val="clear" w:color="auto" w:fill="FFFFFF"/>
              <w:spacing w:beforeLines="0" w:after="0" w:afterLines="0" w:line="240" w:lineRule="auto"/>
              <w:jc w:val="left"/>
              <w:rPr>
                <w:rFonts w:ascii="Calibri" w:hAnsi="Calibri" w:eastAsia="Microsoft YaHei UI" w:cs="Calibri"/>
                <w:color w:val="000000"/>
                <w:sz w:val="22"/>
                <w:szCs w:val="22"/>
              </w:rPr>
            </w:pPr>
            <w:r>
              <w:rPr>
                <w:rFonts w:eastAsia="Microsoft YaHei UI"/>
                <w:color w:val="000000"/>
              </w:rPr>
              <w:t>FFS details about how to configure the DCI field: e.g. start and length of bitmap (e.g. explicitly/implicitly configured)</w:t>
            </w:r>
          </w:p>
          <w:p>
            <w:pPr>
              <w:numPr>
                <w:ilvl w:val="0"/>
                <w:numId w:val="8"/>
              </w:numPr>
              <w:shd w:val="clear" w:color="auto" w:fill="FFFFFF"/>
              <w:spacing w:beforeLines="0" w:after="0" w:afterLines="0" w:line="240" w:lineRule="auto"/>
              <w:jc w:val="left"/>
              <w:rPr>
                <w:rFonts w:ascii="Calibri" w:hAnsi="Calibri" w:eastAsia="Microsoft YaHei UI" w:cs="Calibri"/>
                <w:color w:val="000000"/>
                <w:sz w:val="22"/>
                <w:szCs w:val="22"/>
              </w:rPr>
            </w:pPr>
            <w:r>
              <w:rPr>
                <w:rFonts w:eastAsia="Microsoft YaHei UI"/>
                <w:color w:val="000000"/>
              </w:rPr>
              <w:t>for paging PDCCH based L1 availability indication, support L1 availability indication at an occasion can provide availability information for all configured RS resources</w:t>
            </w:r>
          </w:p>
          <w:p>
            <w:pPr>
              <w:numPr>
                <w:ilvl w:val="1"/>
                <w:numId w:val="8"/>
              </w:numPr>
              <w:shd w:val="clear" w:color="auto" w:fill="FFFFFF"/>
              <w:spacing w:beforeLines="0" w:after="0" w:afterLines="0" w:line="240" w:lineRule="auto"/>
              <w:jc w:val="left"/>
              <w:rPr>
                <w:rFonts w:ascii="Calibri" w:hAnsi="Calibri" w:eastAsia="Microsoft YaHei UI" w:cs="Calibri"/>
                <w:color w:val="000000"/>
                <w:sz w:val="22"/>
                <w:szCs w:val="22"/>
              </w:rPr>
            </w:pPr>
            <w:r>
              <w:rPr>
                <w:rFonts w:eastAsia="Microsoft YaHei UI"/>
                <w:color w:val="000000"/>
              </w:rPr>
              <w:t>FFS whether this needs to be supported regardless of the number of beams or for some configured RS resources</w:t>
            </w:r>
          </w:p>
          <w:p>
            <w:pPr>
              <w:numPr>
                <w:ilvl w:val="0"/>
                <w:numId w:val="8"/>
              </w:numPr>
              <w:shd w:val="clear" w:color="auto" w:fill="FFFFFF"/>
              <w:spacing w:beforeLines="0" w:after="0" w:afterLines="0" w:line="240" w:lineRule="auto"/>
              <w:jc w:val="left"/>
              <w:rPr>
                <w:rFonts w:ascii="Calibri" w:hAnsi="Calibri" w:eastAsia="Microsoft YaHei UI" w:cs="Calibri"/>
                <w:color w:val="000000"/>
                <w:sz w:val="22"/>
                <w:szCs w:val="22"/>
              </w:rPr>
            </w:pPr>
            <w:r>
              <w:rPr>
                <w:rFonts w:eastAsia="Microsoft YaHei UI"/>
                <w:color w:val="000000"/>
              </w:rPr>
              <w:t>FFS: PEI DCI provides L1 availability indication information only for RS resources with QCL references to be the same as for the L1 availability indication occasion</w:t>
            </w:r>
          </w:p>
          <w:p>
            <w:pPr>
              <w:numPr>
                <w:ilvl w:val="0"/>
                <w:numId w:val="8"/>
              </w:numPr>
              <w:shd w:val="clear" w:color="auto" w:fill="FFFFFF"/>
              <w:spacing w:beforeLines="0" w:after="0" w:afterLines="0" w:line="240" w:lineRule="auto"/>
              <w:jc w:val="left"/>
            </w:pPr>
            <w:r>
              <w:rPr>
                <w:rFonts w:eastAsia="Microsoft YaHei UI"/>
                <w:color w:val="000000"/>
              </w:rPr>
              <w:t>FFS: indication of unavailability</w:t>
            </w:r>
          </w:p>
        </w:tc>
      </w:tr>
    </w:tbl>
    <w:p>
      <w:pPr>
        <w:spacing w:before="120" w:after="120"/>
        <w:rPr>
          <w:szCs w:val="21"/>
        </w:rPr>
      </w:pPr>
    </w:p>
    <w:p>
      <w:pPr>
        <w:spacing w:before="120" w:after="120"/>
        <w:rPr>
          <w:szCs w:val="21"/>
        </w:rPr>
      </w:pPr>
      <w:r>
        <w:rPr>
          <w:szCs w:val="21"/>
        </w:rPr>
        <w:t>According to the agreements in RAN1#106bis-e, each TRS resource set is associated with a common parameter of QCL reference. If each bit in the bitmap is associated with a TRS resource, up to 64 bits are needed to indicate the availability indication for FR2 with 64 beams. To reduce the DCI signaling overhead and guarantee the detection performance of paging DCI, it is suggested that each bit can be used to indicate availability information for TRS resource set group which comprises one or more TRS resource sets.</w:t>
      </w:r>
    </w:p>
    <w:p>
      <w:pPr>
        <w:pStyle w:val="29"/>
      </w:pPr>
      <w:bookmarkStart w:id="1" w:name="_Toc87032458"/>
      <w:r>
        <w:t>The TRS/CSI-RS sets with different QCL references should be further grouped to reduce the signaling overhead of L1 availability indication.</w:t>
      </w:r>
      <w:bookmarkEnd w:id="1"/>
    </w:p>
    <w:p>
      <w:pPr>
        <w:pStyle w:val="29"/>
      </w:pPr>
      <w:bookmarkStart w:id="2" w:name="_Toc87032459"/>
      <w:r>
        <w:t>Each bit in the bitmap is associated with one or more TRS resource sets.</w:t>
      </w:r>
      <w:bookmarkEnd w:id="2"/>
    </w:p>
    <w:p>
      <w:pPr>
        <w:widowControl w:val="0"/>
        <w:autoSpaceDE w:val="0"/>
        <w:autoSpaceDN w:val="0"/>
        <w:adjustRightInd w:val="0"/>
        <w:spacing w:before="120" w:after="120"/>
        <w:rPr>
          <w:szCs w:val="21"/>
        </w:rPr>
      </w:pPr>
      <w:r>
        <w:rPr>
          <w:szCs w:val="21"/>
        </w:rPr>
        <w:t xml:space="preserve">As to the information field in paging DCI, there 6 and 8 reserved bits for licensed and unlicensed spectrum, respectively. In addition, other resource allocation fields, including frequency/time domain resource assignment, etc. are also reserved if only short message is carried. However, to make sure that the scheduling information of paging message and TRS availability indication can be conveyed in the same DCI to avoid unnecessary signaling overhead, it is reasonable to carry TRS availability indication via the reserved bits in paging DCI. </w:t>
      </w:r>
    </w:p>
    <w:p>
      <w:pPr>
        <w:pStyle w:val="29"/>
      </w:pPr>
      <w:bookmarkStart w:id="3" w:name="_Toc87032460"/>
      <w:r>
        <w:t>The reserved bits in paging DCI are used for TRS availability indication. The bitmap size can be up to 6 bits.</w:t>
      </w:r>
      <w:bookmarkEnd w:id="3"/>
    </w:p>
    <w:p>
      <w:pPr>
        <w:widowControl w:val="0"/>
        <w:autoSpaceDE w:val="0"/>
        <w:autoSpaceDN w:val="0"/>
        <w:adjustRightInd w:val="0"/>
        <w:spacing w:before="120" w:after="120"/>
        <w:rPr>
          <w:szCs w:val="21"/>
        </w:rPr>
      </w:pPr>
      <w:r>
        <w:rPr>
          <w:szCs w:val="21"/>
        </w:rPr>
        <w:t xml:space="preserve">For PDCCH based PEI, according to the guidance from RAN#93 </w:t>
      </w:r>
      <w:r>
        <w:rPr>
          <w:szCs w:val="21"/>
        </w:rPr>
        <w:fldChar w:fldCharType="begin"/>
      </w:r>
      <w:r>
        <w:rPr>
          <w:szCs w:val="21"/>
        </w:rPr>
        <w:instrText xml:space="preserve"> REF _Ref85726643 \n \h </w:instrText>
      </w:r>
      <w:r>
        <w:rPr>
          <w:szCs w:val="21"/>
        </w:rPr>
        <w:fldChar w:fldCharType="separate"/>
      </w:r>
      <w:r>
        <w:rPr>
          <w:szCs w:val="21"/>
        </w:rPr>
        <w:t>[2]</w:t>
      </w:r>
      <w:r>
        <w:rPr>
          <w:szCs w:val="21"/>
        </w:rPr>
        <w:fldChar w:fldCharType="end"/>
      </w:r>
      <w:r>
        <w:rPr>
          <w:szCs w:val="21"/>
        </w:rPr>
        <w:t xml:space="preserve">, the same design principle should be applied to both paging PDCCH and PEI. Hence, it is straightforward that the same TRS availability indication mechanism should be applied to DCI based PEI. Furthermore, the bit size and indication content should be the same in PEI and paging DCI to make sure the information conveyed to UEs is consistent even different L1 signaling is detected. </w:t>
      </w:r>
    </w:p>
    <w:p>
      <w:pPr>
        <w:pStyle w:val="29"/>
      </w:pPr>
      <w:bookmarkStart w:id="4" w:name="_Toc87032461"/>
      <w:r>
        <w:rPr>
          <w:bCs w:val="0"/>
        </w:rPr>
        <w:t>The TRS availability indication mechanism, bit size, and indication content for paging PDCCH and PEI should be the same.</w:t>
      </w:r>
      <w:bookmarkEnd w:id="4"/>
    </w:p>
    <w:p>
      <w:pPr>
        <w:widowControl w:val="0"/>
        <w:autoSpaceDE w:val="0"/>
        <w:autoSpaceDN w:val="0"/>
        <w:adjustRightInd w:val="0"/>
        <w:spacing w:before="120" w:after="120"/>
      </w:pPr>
      <w:r>
        <w:rPr>
          <w:szCs w:val="21"/>
        </w:rPr>
        <w:t>According to the agreements in previous meeting (</w:t>
      </w:r>
      <w:r>
        <w:t>RAN1#104-e</w:t>
      </w:r>
      <w:r>
        <w:rPr>
          <w:szCs w:val="21"/>
        </w:rPr>
        <w:t>), UE will assume the TRS resources are unavailable if availability information is not detected. Therefore, it is a tradeoff between gNB resource overhead and UE power saving to indicate L1 TRS availability information for all the TRS resources (i.e., regardless of the number of beams).</w:t>
      </w:r>
    </w:p>
    <w:p>
      <w:pPr>
        <w:pStyle w:val="29"/>
        <w:rPr>
          <w:lang w:val="en-GB"/>
        </w:rPr>
      </w:pPr>
      <w:bookmarkStart w:id="5" w:name="_Toc87032462"/>
      <w:r>
        <w:rPr>
          <w:lang w:val="en-GB"/>
        </w:rPr>
        <w:t xml:space="preserve">All the TRS resources </w:t>
      </w:r>
      <w:r>
        <w:t>should</w:t>
      </w:r>
      <w:r>
        <w:rPr>
          <w:lang w:val="en-GB"/>
        </w:rPr>
        <w:t xml:space="preserve"> be indicated </w:t>
      </w:r>
      <w:r>
        <w:t xml:space="preserve">with L1 TRS availability information </w:t>
      </w:r>
      <w:r>
        <w:rPr>
          <w:lang w:val="en-GB"/>
        </w:rPr>
        <w:t>regardless of the number of beams.</w:t>
      </w:r>
      <w:bookmarkEnd w:id="5"/>
    </w:p>
    <w:p>
      <w:pPr>
        <w:spacing w:before="120" w:after="120"/>
      </w:pPr>
      <w:r>
        <w:t>In RAN1#106b-e, the following working assumption was reached. To reduce signaling overhead, there is no need to configure an extra parameter to indicate whether the L1 based indication is enabled or not.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autoSpaceDE w:val="0"/>
              <w:autoSpaceDN w:val="0"/>
              <w:snapToGrid w:val="0"/>
              <w:spacing w:before="0" w:beforeLines="0" w:after="0" w:afterLines="0"/>
              <w:rPr>
                <w:rFonts w:eastAsia="等线"/>
                <w:bCs/>
                <w:highlight w:val="darkYellow"/>
              </w:rPr>
            </w:pPr>
            <w:r>
              <w:rPr>
                <w:rFonts w:hint="eastAsia" w:eastAsia="等线"/>
                <w:bCs/>
                <w:highlight w:val="darkYellow"/>
              </w:rPr>
              <w:t>Working</w:t>
            </w:r>
            <w:r>
              <w:rPr>
                <w:rFonts w:eastAsia="等线"/>
                <w:bCs/>
                <w:highlight w:val="darkYellow"/>
              </w:rPr>
              <w:t xml:space="preserve"> </w:t>
            </w:r>
            <w:r>
              <w:rPr>
                <w:rFonts w:hint="eastAsia" w:eastAsia="等线"/>
                <w:bCs/>
                <w:highlight w:val="darkYellow"/>
              </w:rPr>
              <w:t>Assumption</w:t>
            </w:r>
          </w:p>
          <w:p>
            <w:pPr>
              <w:widowControl w:val="0"/>
              <w:autoSpaceDE w:val="0"/>
              <w:autoSpaceDN w:val="0"/>
              <w:snapToGrid w:val="0"/>
              <w:spacing w:before="0" w:beforeLines="0" w:after="0" w:afterLines="0"/>
            </w:pPr>
            <w:r>
              <w:rPr>
                <w:rFonts w:eastAsia="MS Mincho"/>
                <w:bCs/>
                <w:lang w:eastAsia="ja-JP"/>
              </w:rPr>
              <w:t xml:space="preserve">If TRS resource is configured in SIB, </w:t>
            </w:r>
            <w:r>
              <w:rPr>
                <w:lang w:eastAsia="ko-KR"/>
              </w:rPr>
              <w:t>L1 based availability</w:t>
            </w:r>
            <w:r>
              <w:rPr>
                <w:rFonts w:eastAsia="MS Mincho"/>
                <w:bCs/>
                <w:lang w:eastAsia="ja-JP"/>
              </w:rPr>
              <w:t xml:space="preserve"> indication is always enabled based on the configuration.</w:t>
            </w:r>
          </w:p>
        </w:tc>
      </w:tr>
    </w:tbl>
    <w:p>
      <w:pPr>
        <w:spacing w:before="120" w:after="120"/>
      </w:pPr>
    </w:p>
    <w:p>
      <w:pPr>
        <w:pStyle w:val="29"/>
        <w:rPr>
          <w:iCs/>
        </w:rPr>
      </w:pPr>
      <w:bookmarkStart w:id="6" w:name="_Toc87032463"/>
      <w:r>
        <w:t>Confirm the following working assumption</w:t>
      </w:r>
      <w:bookmarkEnd w:id="6"/>
    </w:p>
    <w:p>
      <w:pPr>
        <w:pStyle w:val="29"/>
        <w:numPr>
          <w:ilvl w:val="0"/>
          <w:numId w:val="0"/>
        </w:numPr>
        <w:ind w:left="422"/>
      </w:pPr>
      <w:bookmarkStart w:id="7" w:name="_Toc87032464"/>
      <w:r>
        <w:t>If TRS resource is configured in SIB, L1 based availability indication is always enabled based on the configuration.</w:t>
      </w:r>
      <w:bookmarkEnd w:id="7"/>
    </w:p>
    <w:p>
      <w:pPr>
        <w:widowControl w:val="0"/>
        <w:autoSpaceDE w:val="0"/>
        <w:autoSpaceDN w:val="0"/>
        <w:adjustRightInd w:val="0"/>
        <w:spacing w:before="120" w:after="120"/>
        <w:rPr>
          <w:szCs w:val="21"/>
        </w:rPr>
      </w:pPr>
      <w:r>
        <w:rPr>
          <w:szCs w:val="21"/>
        </w:rPr>
        <w:t xml:space="preserve">As to the length of bitmap in paging DCI and PEI, we think it can be determined by the number of TRS resource sets/groups. For the start of the bitmap, it depends on the bit size of the previous information field in the same DCI. Hence, the length and start of the TRS availability indication can be implicitly derived and there is no need to introduce dedicated parameters. </w:t>
      </w:r>
    </w:p>
    <w:p>
      <w:pPr>
        <w:pStyle w:val="29"/>
      </w:pPr>
      <w:bookmarkStart w:id="8" w:name="_Toc87032465"/>
      <w:r>
        <w:t>The length and start of the TRS availability indication can be implicitly derived and there is no need to introduce dedicated parameters.</w:t>
      </w:r>
      <w:bookmarkEnd w:id="8"/>
      <w:r>
        <w:t xml:space="preserve"> </w:t>
      </w:r>
    </w:p>
    <w:p>
      <w:pPr>
        <w:widowControl w:val="0"/>
        <w:autoSpaceDE w:val="0"/>
        <w:autoSpaceDN w:val="0"/>
        <w:adjustRightInd w:val="0"/>
        <w:spacing w:before="120" w:after="120"/>
        <w:rPr>
          <w:szCs w:val="21"/>
        </w:rPr>
      </w:pPr>
      <w:r>
        <w:rPr>
          <w:szCs w:val="21"/>
        </w:rPr>
        <w:t xml:space="preserve">The TRS resource is shared from UE under RRC connected state, gNB should be allowed to turn it off dynamically to save network energy when there is no RRC connected state UE in the cell. As a result, it needs to indicate unavailability for TRS resource in this case. </w:t>
      </w:r>
    </w:p>
    <w:p>
      <w:pPr>
        <w:pStyle w:val="29"/>
      </w:pPr>
      <w:bookmarkStart w:id="9" w:name="_Toc87032466"/>
      <w:bookmarkStart w:id="10" w:name="_Ref85739099"/>
      <w:r>
        <w:rPr>
          <w:bCs w:val="0"/>
        </w:rPr>
        <w:t>Indication of unavailability for TRS resource is needed to save network energy and resource overhead.</w:t>
      </w:r>
      <w:bookmarkEnd w:id="9"/>
      <w:bookmarkEnd w:id="10"/>
    </w:p>
    <w:p>
      <w:pPr>
        <w:pStyle w:val="3"/>
        <w:numPr>
          <w:ilvl w:val="0"/>
          <w:numId w:val="0"/>
        </w:numPr>
        <w:spacing w:before="120" w:after="120" w:line="240" w:lineRule="auto"/>
        <w:ind w:left="1320" w:leftChars="270" w:right="210" w:hanging="753" w:hangingChars="268"/>
        <w:rPr>
          <w:rFonts w:eastAsiaTheme="minorEastAsia"/>
          <w:b/>
          <w:szCs w:val="21"/>
        </w:rPr>
      </w:pPr>
      <w:r>
        <w:rPr>
          <w:b/>
          <w:szCs w:val="21"/>
        </w:rPr>
        <w:t>Valid time duration</w:t>
      </w:r>
      <w:r>
        <w:rPr>
          <w:rFonts w:hint="eastAsia" w:eastAsiaTheme="minorEastAsia"/>
          <w:b/>
          <w:szCs w:val="21"/>
        </w:rPr>
        <w:t xml:space="preserve"> and</w:t>
      </w:r>
      <w:r>
        <w:rPr>
          <w:rFonts w:eastAsiaTheme="minorEastAsia"/>
          <w:b/>
          <w:szCs w:val="21"/>
        </w:rPr>
        <w:t xml:space="preserve"> reference point</w:t>
      </w:r>
    </w:p>
    <w:p>
      <w:pPr>
        <w:spacing w:before="120" w:after="120"/>
        <w:rPr>
          <w:szCs w:val="21"/>
        </w:rPr>
      </w:pPr>
      <w:r>
        <w:rPr>
          <w:szCs w:val="21"/>
        </w:rPr>
        <w:t>In RAN1#106b-e meeting, agreement about valid time duration and the corresponding reference point were reached as below</w:t>
      </w:r>
      <w:r>
        <w:rPr>
          <w:rFonts w:hint="eastAsia"/>
          <w:szCs w:val="21"/>
        </w:rPr>
        <w:t>.</w:t>
      </w:r>
      <w:r>
        <w:rPr>
          <w:szCs w:val="21"/>
        </w:rPr>
        <w:t xml:space="preserve"> Herein more details are discussed.</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6" w:type="dxa"/>
            <w:shd w:val="clear" w:color="auto" w:fill="auto"/>
          </w:tcPr>
          <w:p>
            <w:pPr>
              <w:overflowPunct w:val="0"/>
              <w:autoSpaceDE w:val="0"/>
              <w:autoSpaceDN w:val="0"/>
              <w:adjustRightInd w:val="0"/>
              <w:spacing w:before="120" w:beforeLines="0" w:after="0" w:afterLines="0"/>
              <w:textAlignment w:val="baseline"/>
              <w:rPr>
                <w:rFonts w:eastAsia="DengXian"/>
                <w:highlight w:val="green"/>
                <w:shd w:val="clear" w:color="auto" w:fill="FFFF00"/>
              </w:rPr>
            </w:pPr>
            <w:r>
              <w:rPr>
                <w:rFonts w:eastAsia="DengXian"/>
                <w:highlight w:val="green"/>
                <w:shd w:val="clear" w:color="auto" w:fill="FFFF00"/>
              </w:rPr>
              <w:t>Agreement</w:t>
            </w:r>
          </w:p>
          <w:p>
            <w:pPr>
              <w:shd w:val="clear" w:color="auto" w:fill="FFFFFF"/>
              <w:spacing w:before="0" w:beforeLines="0" w:after="0" w:afterLines="0"/>
              <w:rPr>
                <w:rFonts w:ascii="Calibri" w:hAnsi="Calibri" w:cs="Calibri"/>
                <w:color w:val="000000"/>
                <w:sz w:val="22"/>
                <w:szCs w:val="22"/>
              </w:rPr>
            </w:pPr>
            <w:r>
              <w:rPr>
                <w:color w:val="000000"/>
              </w:rPr>
              <w:t>At least for paging PDCCH based L1 availability indication of TRS/CSI-RS at the configured occasion(s) to the idle/inactive UEs, the L1 availability indication is valid for a time duration starting from a reference point, where</w:t>
            </w:r>
          </w:p>
          <w:p>
            <w:pPr>
              <w:numPr>
                <w:ilvl w:val="0"/>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the time duration is a validity duration configured by higher layer,</w:t>
            </w:r>
          </w:p>
          <w:p>
            <w:pPr>
              <w:numPr>
                <w:ilvl w:val="1"/>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FFS applicable values, e.g. # of DRX cycles, or multiple of default paging cycle duration (i.e. modification period)</w:t>
            </w:r>
          </w:p>
          <w:p>
            <w:pPr>
              <w:numPr>
                <w:ilvl w:val="1"/>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FFS UE doesn’t expect inconsistent L1 based indication during the time duration</w:t>
            </w:r>
          </w:p>
          <w:p>
            <w:pPr>
              <w:numPr>
                <w:ilvl w:val="0"/>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the reference point for start of the validity duration is one of the following alternatives:</w:t>
            </w:r>
          </w:p>
          <w:p>
            <w:pPr>
              <w:numPr>
                <w:ilvl w:val="1"/>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Alt1: SFN of the first PF from the next DRX cycle</w:t>
            </w:r>
          </w:p>
          <w:p>
            <w:pPr>
              <w:numPr>
                <w:ilvl w:val="1"/>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Alt2: SFN of the first PF from the current DRX cycle where UE receives the indication</w:t>
            </w:r>
          </w:p>
          <w:p>
            <w:pPr>
              <w:numPr>
                <w:ilvl w:val="1"/>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Alt3: based on SFN configured by higher layer, i.e. modification period configured as multiple of default paging cycle duration</w:t>
            </w:r>
          </w:p>
          <w:p>
            <w:pPr>
              <w:numPr>
                <w:ilvl w:val="1"/>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Alt4: start of the PF for the PO where UE receives the indication</w:t>
            </w:r>
          </w:p>
          <w:p>
            <w:pPr>
              <w:numPr>
                <w:ilvl w:val="1"/>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Note: the DRX cycle in Alt1 and Alt2 is the default paging cycle broadcast in SIB</w:t>
            </w:r>
          </w:p>
          <w:p>
            <w:pPr>
              <w:numPr>
                <w:ilvl w:val="1"/>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Note: The SFN for the first PF is </w:t>
            </w:r>
            <w:r>
              <w:rPr>
                <w:rFonts w:eastAsia="Microsoft YaHei UI"/>
                <w:strike/>
                <w:color w:val="FF0000"/>
              </w:rPr>
              <w:t>for (UE mod N) = 0, and can be</w:t>
            </w:r>
            <w:r>
              <w:rPr>
                <w:rFonts w:eastAsia="Microsoft YaHei UI"/>
                <w:color w:val="FF0000"/>
              </w:rPr>
              <w:t> </w:t>
            </w:r>
            <w:r>
              <w:rPr>
                <w:rFonts w:eastAsia="Microsoft YaHei UI"/>
                <w:color w:val="000000"/>
              </w:rPr>
              <w:t>calculated by (SFN + PF_offset) mod T = 0</w:t>
            </w:r>
          </w:p>
          <w:p>
            <w:pPr>
              <w:numPr>
                <w:ilvl w:val="0"/>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the time duration can be optionally configured by gNB</w:t>
            </w:r>
          </w:p>
          <w:p>
            <w:pPr>
              <w:numPr>
                <w:ilvl w:val="1"/>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when the time duration is not configured, one of the following alternatives can be considered:</w:t>
            </w:r>
          </w:p>
          <w:p>
            <w:pPr>
              <w:numPr>
                <w:ilvl w:val="2"/>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Alt1: the availability indication is valid until when the UE receives another availability indication.</w:t>
            </w:r>
          </w:p>
          <w:p>
            <w:pPr>
              <w:numPr>
                <w:ilvl w:val="2"/>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Alt2: </w:t>
            </w:r>
            <w:r>
              <w:rPr>
                <w:rFonts w:eastAsia="Microsoft YaHei UI"/>
                <w:color w:val="000000"/>
                <w:lang w:val="fi-FI"/>
              </w:rPr>
              <w:t>the availability indication is valid until L1 availability indication is changed by network</w:t>
            </w:r>
          </w:p>
          <w:p>
            <w:pPr>
              <w:numPr>
                <w:ilvl w:val="2"/>
                <w:numId w:val="9"/>
              </w:numPr>
              <w:shd w:val="clear" w:color="auto" w:fill="FFFFFF"/>
              <w:spacing w:before="0" w:beforeLines="0" w:after="0" w:afterLines="0" w:line="240" w:lineRule="auto"/>
              <w:jc w:val="left"/>
              <w:rPr>
                <w:rFonts w:ascii="Calibri" w:hAnsi="Calibri" w:eastAsia="Microsoft YaHei UI" w:cs="Calibri"/>
                <w:color w:val="000000"/>
                <w:sz w:val="22"/>
                <w:szCs w:val="22"/>
              </w:rPr>
            </w:pPr>
            <w:r>
              <w:rPr>
                <w:rFonts w:eastAsia="Microsoft YaHei UI"/>
                <w:color w:val="000000"/>
              </w:rPr>
              <w:t>Alt3: default time duration e.g. default paging cycle</w:t>
            </w:r>
          </w:p>
          <w:p>
            <w:pPr>
              <w:numPr>
                <w:ilvl w:val="0"/>
                <w:numId w:val="9"/>
              </w:numPr>
              <w:shd w:val="clear" w:color="auto" w:fill="FFFFFF"/>
              <w:spacing w:before="0" w:beforeLines="0" w:after="120" w:afterLines="0" w:line="240" w:lineRule="auto"/>
              <w:ind w:left="714" w:hanging="357"/>
              <w:jc w:val="left"/>
            </w:pPr>
            <w:r>
              <w:rPr>
                <w:rFonts w:eastAsia="Microsoft YaHei UI"/>
                <w:color w:val="000000"/>
              </w:rPr>
              <w:t>FFS whether and how to handle the miss detection issue of L1 signaling</w:t>
            </w:r>
          </w:p>
        </w:tc>
      </w:tr>
    </w:tbl>
    <w:p>
      <w:pPr>
        <w:spacing w:before="120" w:after="120"/>
        <w:rPr>
          <w:szCs w:val="21"/>
        </w:rPr>
      </w:pPr>
    </w:p>
    <w:p>
      <w:pPr>
        <w:spacing w:before="120" w:after="120" w:afterAutospacing="1"/>
      </w:pPr>
      <w:r>
        <w:rPr>
          <w:bCs/>
          <w:szCs w:val="21"/>
        </w:rPr>
        <w:t xml:space="preserve">As to the start of the valid time depends on information carried by the paging DCI/PEI and both of them are broadcast information, the valid time may result into an always-on TRS without a proper design as it is shown in Figure 1. For example, according to the availability indication transmitted in the first paging cycle, the TRS resources will be available for the next X paging cycles. As the paging DCI is not aimed to one particular UE, network may need to indicate scheduling resources for the paged UE in the second paging cycle. In this case, the valid time duration will be extended till the next X paging cycles starting from the second cycle. Hence, network cannot cease TRS transmission since the valid time duration will be restarted as long as the L1 based signaling is transmitted during the on-going valid time duration. </w:t>
      </w:r>
    </w:p>
    <w:p>
      <w:pPr>
        <w:spacing w:before="120" w:after="120" w:afterAutospacing="1"/>
      </w:pPr>
      <w:r>
        <w:rPr>
          <w:bCs/>
          <w:szCs w:val="21"/>
        </w:rPr>
        <w:drawing>
          <wp:inline distT="0" distB="0" distL="0" distR="0">
            <wp:extent cx="6134100" cy="21945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6134100" cy="2194560"/>
                    </a:xfrm>
                    <a:prstGeom prst="rect">
                      <a:avLst/>
                    </a:prstGeom>
                  </pic:spPr>
                </pic:pic>
              </a:graphicData>
            </a:graphic>
          </wp:inline>
        </w:drawing>
      </w:r>
    </w:p>
    <w:p>
      <w:pPr>
        <w:spacing w:before="120" w:after="120" w:afterAutospacing="1"/>
        <w:jc w:val="center"/>
      </w:pPr>
      <w:r>
        <w:rPr>
          <w:bCs/>
          <w:szCs w:val="21"/>
        </w:rPr>
        <w:t xml:space="preserve">Figure 1 </w:t>
      </w:r>
      <w:r>
        <w:rPr>
          <w:rFonts w:hint="eastAsia"/>
          <w:bCs/>
          <w:szCs w:val="21"/>
        </w:rPr>
        <w:t xml:space="preserve">  D</w:t>
      </w:r>
      <w:r>
        <w:rPr>
          <w:bCs/>
          <w:szCs w:val="21"/>
        </w:rPr>
        <w:t>ynamic sliding of valid time</w:t>
      </w:r>
    </w:p>
    <w:p>
      <w:pPr>
        <w:spacing w:before="120" w:after="120" w:afterAutospacing="1"/>
        <w:rPr>
          <w:bCs/>
          <w:szCs w:val="21"/>
        </w:rPr>
      </w:pPr>
      <w:r>
        <w:rPr>
          <w:bCs/>
          <w:szCs w:val="21"/>
        </w:rPr>
        <w:t>To resolve this issue, a simple and straightforward way is to use the L1 signaling for both availability and unavailability indication. Network has the flexibility to indicate the TRS resource as unavailable when e.g., there is no RRC connected UE in the cell. Moreover, it is understood that the motivation of introduction of TRS valid time is to reduce network resource overhead and energy. However, it is infeasible for network to predict how long the TRS resources will be transmitted for the RRC connected UE. Therefore, it should provide network with the flexibility to dynamically indicate the TRS resources as unavailable/ available, i.e. the availability indication is valid when UE receives another availability indication. It requires the unavailability indication can be carried by the availability information discussed above.</w:t>
      </w:r>
    </w:p>
    <w:p>
      <w:pPr>
        <w:pStyle w:val="29"/>
      </w:pPr>
      <w:bookmarkStart w:id="11" w:name="_Toc87032468"/>
      <w:r>
        <w:rPr>
          <w:rFonts w:eastAsia="Microsoft YaHei UI"/>
          <w:color w:val="000000"/>
        </w:rPr>
        <w:t xml:space="preserve">When the time duration is not configured, </w:t>
      </w:r>
      <w:r>
        <w:t>the availability indication is valid when UE receives another availability indication.</w:t>
      </w:r>
      <w:bookmarkEnd w:id="11"/>
    </w:p>
    <w:p>
      <w:pPr>
        <w:spacing w:before="120" w:after="120" w:afterAutospacing="1"/>
      </w:pPr>
      <w:r>
        <w:rPr>
          <w:bCs/>
          <w:szCs w:val="21"/>
        </w:rPr>
        <w:t xml:space="preserve">Another solution to address the issue illustrated in Figure 1 is using a modification period similar with SI change mechanism. As shown in Figure 2, the availability indication transmitted in the first modification period are not valid until the second modification period starts, where the modification periods are common to all the UEs. While in the second modification period, the L1 signaling can indicate unavailability indication/availability indication which doesn’t either contradict with the availability of TRS resource in the current modification period, or unexpected extend the valid time duration. </w:t>
      </w:r>
    </w:p>
    <w:p>
      <w:pPr>
        <w:spacing w:before="120" w:after="120" w:afterAutospacing="1"/>
        <w:rPr>
          <w:b/>
          <w:bCs/>
        </w:rPr>
      </w:pPr>
      <w:r>
        <w:rPr>
          <w:bCs/>
          <w:szCs w:val="21"/>
        </w:rPr>
        <w:drawing>
          <wp:inline distT="0" distB="0" distL="0" distR="0">
            <wp:extent cx="6134100" cy="182308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6134100" cy="1823085"/>
                    </a:xfrm>
                    <a:prstGeom prst="rect">
                      <a:avLst/>
                    </a:prstGeom>
                  </pic:spPr>
                </pic:pic>
              </a:graphicData>
            </a:graphic>
          </wp:inline>
        </w:drawing>
      </w:r>
    </w:p>
    <w:p>
      <w:pPr>
        <w:spacing w:before="120" w:after="120" w:afterAutospacing="1"/>
        <w:jc w:val="center"/>
      </w:pPr>
      <w:r>
        <w:rPr>
          <w:bCs/>
          <w:szCs w:val="21"/>
        </w:rPr>
        <w:t xml:space="preserve">Figure 2 </w:t>
      </w:r>
      <w:r>
        <w:rPr>
          <w:rFonts w:hint="eastAsia"/>
          <w:bCs/>
          <w:szCs w:val="21"/>
        </w:rPr>
        <w:t xml:space="preserve">  M</w:t>
      </w:r>
      <w:r>
        <w:rPr>
          <w:bCs/>
          <w:szCs w:val="21"/>
        </w:rPr>
        <w:t>odification period for TRS availability indication</w:t>
      </w:r>
    </w:p>
    <w:p>
      <w:pPr>
        <w:pStyle w:val="29"/>
      </w:pPr>
      <w:bookmarkStart w:id="12" w:name="_Toc87032469"/>
      <w:r>
        <w:rPr>
          <w:rFonts w:eastAsia="Microsoft YaHei UI"/>
          <w:color w:val="000000"/>
        </w:rPr>
        <w:t>The modification period can be used to determine the valid time for TRS resource, where the time duration is multiple paging cycles, and the reference time for the start of the validity duration is based on the SFN configured by higher layer.</w:t>
      </w:r>
      <w:bookmarkEnd w:id="12"/>
    </w:p>
    <w:p>
      <w:pPr>
        <w:pStyle w:val="29"/>
        <w:numPr>
          <w:ilvl w:val="0"/>
          <w:numId w:val="0"/>
        </w:numPr>
        <w:rPr>
          <w:dstrike/>
        </w:rPr>
      </w:pPr>
    </w:p>
    <w:p>
      <w:pPr>
        <w:pStyle w:val="2"/>
        <w:spacing w:before="120" w:after="120"/>
        <w:rPr>
          <w:b/>
        </w:rPr>
      </w:pPr>
      <w:bookmarkStart w:id="13" w:name="_Ref68083116"/>
      <w:r>
        <w:rPr>
          <w:b/>
        </w:rPr>
        <w:t>Detailed configuration</w:t>
      </w:r>
      <w:bookmarkEnd w:id="13"/>
    </w:p>
    <w:p>
      <w:pPr>
        <w:spacing w:before="120" w:after="120" w:afterAutospacing="1"/>
        <w:rPr>
          <w:bCs/>
          <w:szCs w:val="21"/>
        </w:rPr>
      </w:pPr>
      <w:r>
        <w:rPr>
          <w:bCs/>
          <w:szCs w:val="21"/>
        </w:rPr>
        <w:t>In RAN1#106b-e meeting, some parameters</w:t>
      </w:r>
      <w:r>
        <w:t xml:space="preserve"> </w:t>
      </w:r>
      <w:r>
        <w:rPr>
          <w:bCs/>
          <w:szCs w:val="21"/>
        </w:rPr>
        <w:t xml:space="preserve">of TRS for UE </w:t>
      </w:r>
      <w:r>
        <w:rPr>
          <w:rFonts w:hint="eastAsia"/>
          <w:bCs/>
          <w:szCs w:val="21"/>
        </w:rPr>
        <w:t xml:space="preserve">in </w:t>
      </w:r>
      <w:r>
        <w:rPr>
          <w:szCs w:val="21"/>
        </w:rPr>
        <w:t>RRC Idle/Inactive state</w:t>
      </w:r>
      <w:r>
        <w:rPr>
          <w:bCs/>
          <w:szCs w:val="21"/>
        </w:rPr>
        <w:t xml:space="preserve"> were agreed as follows. However, other parameters need further discussion. </w:t>
      </w:r>
    </w:p>
    <w:p>
      <w:pPr>
        <w:spacing w:before="120" w:after="120" w:afterAutospacing="1"/>
        <w:rPr>
          <w:bCs/>
          <w:szCs w:val="21"/>
        </w:rPr>
      </w:pPr>
      <w:r>
        <w:rPr>
          <w:bCs/>
          <w:szCs w:val="21"/>
        </w:rPr>
        <w:t xml:space="preserve">Moreover, as the </w:t>
      </w:r>
      <w:r>
        <w:rPr>
          <w:rFonts w:hint="eastAsia"/>
          <w:bCs/>
          <w:szCs w:val="21"/>
        </w:rPr>
        <w:t>parameters of TRS occasions are configured by SI</w:t>
      </w:r>
      <w:r>
        <w:rPr>
          <w:bCs/>
          <w:szCs w:val="21"/>
        </w:rPr>
        <w:t>B and</w:t>
      </w:r>
      <w:r>
        <w:rPr>
          <w:rFonts w:hint="eastAsia"/>
          <w:bCs/>
          <w:szCs w:val="21"/>
        </w:rPr>
        <w:t xml:space="preserve"> the </w:t>
      </w:r>
      <w:r>
        <w:rPr>
          <w:bCs/>
          <w:szCs w:val="21"/>
        </w:rPr>
        <w:t xml:space="preserve">maximum </w:t>
      </w:r>
      <w:r>
        <w:rPr>
          <w:rFonts w:hint="eastAsia"/>
          <w:bCs/>
          <w:szCs w:val="21"/>
        </w:rPr>
        <w:t xml:space="preserve">payload size of SIB is limited to </w:t>
      </w:r>
      <w:r>
        <w:rPr>
          <w:iCs/>
          <w:color w:val="000000"/>
          <w:sz w:val="22"/>
          <w:szCs w:val="22"/>
        </w:rPr>
        <w:t>2976 bits</w:t>
      </w:r>
      <w:r>
        <w:rPr>
          <w:rFonts w:hint="eastAsia"/>
          <w:bCs/>
          <w:szCs w:val="21"/>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hd w:val="clear" w:color="auto" w:fill="FFFFFF"/>
              <w:spacing w:before="120" w:beforeLines="0" w:after="0" w:afterLines="0" w:line="233" w:lineRule="atLeast"/>
              <w:rPr>
                <w:rFonts w:ascii="Calibri" w:hAnsi="Calibri" w:cs="Calibri"/>
                <w:color w:val="000000"/>
                <w:sz w:val="22"/>
                <w:szCs w:val="22"/>
                <w:highlight w:val="green"/>
              </w:rPr>
            </w:pPr>
            <w:r>
              <w:rPr>
                <w:b/>
                <w:bCs/>
                <w:color w:val="000000"/>
                <w:highlight w:val="green"/>
                <w:shd w:val="clear" w:color="auto" w:fill="FFFF00"/>
              </w:rPr>
              <w:t>Agreement</w:t>
            </w:r>
          </w:p>
          <w:p>
            <w:pPr>
              <w:widowControl w:val="0"/>
              <w:shd w:val="clear" w:color="auto" w:fill="FFFFFF"/>
              <w:spacing w:before="0" w:beforeLines="0" w:after="0" w:afterLines="0"/>
              <w:rPr>
                <w:rFonts w:ascii="Calibri" w:hAnsi="Calibri" w:cs="Calibri"/>
                <w:color w:val="000000"/>
                <w:sz w:val="22"/>
                <w:szCs w:val="22"/>
              </w:rPr>
            </w:pPr>
            <w:r>
              <w:rPr>
                <w:color w:val="000000"/>
              </w:rPr>
              <w:t>Configuration of TRS/CSI-RS occasion(s) for idle/inactive UEs include a list of one or more TRS resource sets, where:</w:t>
            </w:r>
          </w:p>
          <w:p>
            <w:pPr>
              <w:widowControl w:val="0"/>
              <w:shd w:val="clear" w:color="auto" w:fill="FFFFFF"/>
              <w:spacing w:before="0" w:beforeLines="0" w:after="0" w:afterLines="0"/>
              <w:ind w:left="816" w:hanging="360"/>
              <w:rPr>
                <w:rFonts w:ascii="Microsoft YaHei UI" w:hAnsi="Microsoft YaHei UI" w:eastAsia="Microsoft YaHei UI" w:cs="宋体"/>
                <w:color w:val="000000"/>
                <w:szCs w:val="21"/>
              </w:rPr>
            </w:pPr>
            <w:r>
              <w:rPr>
                <w:rFonts w:ascii="Symbol" w:hAnsi="Symbol" w:eastAsia="Microsoft YaHei UI" w:cs="宋体"/>
                <w:color w:val="000000"/>
              </w:rPr>
              <w:t></w:t>
            </w:r>
            <w:r>
              <w:rPr>
                <w:rFonts w:eastAsia="Microsoft YaHei UI"/>
                <w:color w:val="000000"/>
                <w:sz w:val="14"/>
                <w:szCs w:val="14"/>
              </w:rPr>
              <w:t>        </w:t>
            </w:r>
            <w:r>
              <w:rPr>
                <w:rFonts w:eastAsia="Microsoft YaHei UI"/>
                <w:color w:val="000000"/>
              </w:rPr>
              <w:t>a TRS resource set can be configured to include</w:t>
            </w:r>
          </w:p>
          <w:p>
            <w:pPr>
              <w:widowControl w:val="0"/>
              <w:shd w:val="clear" w:color="auto" w:fill="FFFFFF"/>
              <w:spacing w:before="0" w:beforeLines="0" w:after="0" w:afterLines="0"/>
              <w:ind w:left="1536" w:hanging="360"/>
              <w:rPr>
                <w:rFonts w:ascii="Microsoft YaHei UI" w:hAnsi="Microsoft YaHei UI" w:eastAsia="Microsoft YaHei UI" w:cs="宋体"/>
                <w:color w:val="000000"/>
                <w:szCs w:val="21"/>
              </w:rPr>
            </w:pPr>
            <w:r>
              <w:rPr>
                <w:rFonts w:ascii="Courier New" w:hAnsi="Courier New" w:eastAsia="Microsoft YaHei UI" w:cs="Courier New"/>
                <w:color w:val="000000"/>
              </w:rPr>
              <w:t>o</w:t>
            </w:r>
            <w:r>
              <w:rPr>
                <w:rFonts w:eastAsia="Microsoft YaHei UI"/>
                <w:color w:val="000000"/>
                <w:sz w:val="14"/>
                <w:szCs w:val="14"/>
              </w:rPr>
              <w:t>   </w:t>
            </w:r>
            <w:r>
              <w:rPr>
                <w:rFonts w:eastAsia="Microsoft YaHei UI"/>
                <w:color w:val="000000"/>
              </w:rPr>
              <w:t>a set of TRS resources up to two consecutive slots,</w:t>
            </w:r>
          </w:p>
          <w:p>
            <w:pPr>
              <w:widowControl w:val="0"/>
              <w:shd w:val="clear" w:color="auto" w:fill="FFFFFF"/>
              <w:spacing w:before="0" w:beforeLines="0" w:after="0" w:afterLines="0"/>
              <w:ind w:left="2256" w:hanging="360"/>
              <w:rPr>
                <w:rFonts w:ascii="Microsoft YaHei UI" w:hAnsi="Microsoft YaHei UI" w:eastAsia="Microsoft YaHei UI" w:cs="宋体"/>
                <w:color w:val="000000"/>
                <w:szCs w:val="21"/>
              </w:rPr>
            </w:pPr>
            <w:r>
              <w:rPr>
                <w:rFonts w:ascii="Wingdings" w:hAnsi="Wingdings" w:eastAsia="Microsoft YaHei UI" w:cs="宋体"/>
                <w:color w:val="FF0000"/>
              </w:rPr>
              <w:t></w:t>
            </w:r>
            <w:r>
              <w:rPr>
                <w:rFonts w:eastAsia="Microsoft YaHei UI"/>
                <w:color w:val="FF0000"/>
                <w:sz w:val="14"/>
                <w:szCs w:val="14"/>
              </w:rPr>
              <w:t>  </w:t>
            </w:r>
            <w:r>
              <w:rPr>
                <w:rFonts w:eastAsia="Microsoft YaHei UI"/>
                <w:color w:val="FF0000"/>
              </w:rPr>
              <w:t>Note: a TRS resource is same as Rel-15/16, i.e. a CSI-RS in a symbol.</w:t>
            </w:r>
          </w:p>
          <w:p>
            <w:pPr>
              <w:widowControl w:val="0"/>
              <w:shd w:val="clear" w:color="auto" w:fill="FFFFFF"/>
              <w:spacing w:before="0" w:beforeLines="0" w:after="0" w:afterLines="0"/>
              <w:ind w:left="1536" w:hanging="360"/>
              <w:rPr>
                <w:rFonts w:ascii="Microsoft YaHei UI" w:hAnsi="Microsoft YaHei UI" w:eastAsia="Microsoft YaHei UI" w:cs="宋体"/>
                <w:color w:val="000000"/>
                <w:szCs w:val="21"/>
              </w:rPr>
            </w:pPr>
            <w:r>
              <w:rPr>
                <w:rFonts w:ascii="Courier New" w:hAnsi="Courier New" w:eastAsia="Microsoft YaHei UI" w:cs="Courier New"/>
                <w:color w:val="000000"/>
              </w:rPr>
              <w:t>o</w:t>
            </w:r>
            <w:r>
              <w:rPr>
                <w:rFonts w:eastAsia="Microsoft YaHei UI"/>
                <w:color w:val="000000"/>
                <w:sz w:val="14"/>
                <w:szCs w:val="14"/>
              </w:rPr>
              <w:t>   </w:t>
            </w:r>
            <w:r>
              <w:rPr>
                <w:rFonts w:eastAsia="Microsoft YaHei UI"/>
                <w:color w:val="000000"/>
              </w:rPr>
              <w:t>at least common configuration parameters:</w:t>
            </w:r>
          </w:p>
          <w:p>
            <w:pPr>
              <w:widowControl w:val="0"/>
              <w:shd w:val="clear" w:color="auto" w:fill="FFFFFF"/>
              <w:spacing w:before="0" w:beforeLines="0" w:after="0" w:afterLines="0"/>
              <w:ind w:left="2256" w:hanging="360"/>
              <w:rPr>
                <w:rFonts w:ascii="Microsoft YaHei UI" w:hAnsi="Microsoft YaHei UI" w:eastAsia="Microsoft YaHei UI" w:cs="宋体"/>
                <w:color w:val="000000"/>
                <w:szCs w:val="21"/>
              </w:rPr>
            </w:pPr>
            <w:r>
              <w:rPr>
                <w:rFonts w:ascii="Wingdings" w:hAnsi="Wingdings" w:eastAsia="Microsoft YaHei UI" w:cs="宋体"/>
                <w:color w:val="000000"/>
              </w:rPr>
              <w:t></w:t>
            </w:r>
            <w:r>
              <w:rPr>
                <w:rFonts w:eastAsia="Microsoft YaHei UI"/>
                <w:color w:val="000000"/>
                <w:sz w:val="14"/>
                <w:szCs w:val="14"/>
              </w:rPr>
              <w:t>  </w:t>
            </w:r>
            <w:r>
              <w:rPr>
                <w:rFonts w:eastAsia="Microsoft YaHei UI"/>
                <w:color w:val="000000"/>
              </w:rPr>
              <w:t>a QCL reference</w:t>
            </w:r>
          </w:p>
          <w:p>
            <w:pPr>
              <w:widowControl w:val="0"/>
              <w:shd w:val="clear" w:color="auto" w:fill="FFFFFF"/>
              <w:spacing w:before="0" w:beforeLines="0" w:after="0" w:afterLines="0"/>
              <w:ind w:left="2256" w:hanging="360"/>
              <w:rPr>
                <w:rFonts w:ascii="Microsoft YaHei UI" w:hAnsi="Microsoft YaHei UI" w:eastAsia="Microsoft YaHei UI" w:cs="宋体"/>
                <w:color w:val="000000"/>
                <w:szCs w:val="21"/>
              </w:rPr>
            </w:pPr>
            <w:r>
              <w:rPr>
                <w:rFonts w:ascii="Wingdings" w:hAnsi="Wingdings" w:eastAsia="Microsoft YaHei UI" w:cs="宋体"/>
                <w:color w:val="000000"/>
              </w:rPr>
              <w:t></w:t>
            </w:r>
            <w:r>
              <w:rPr>
                <w:rFonts w:eastAsia="Microsoft YaHei UI"/>
                <w:color w:val="000000"/>
                <w:sz w:val="14"/>
                <w:szCs w:val="14"/>
              </w:rPr>
              <w:t>  </w:t>
            </w:r>
            <w:r>
              <w:rPr>
                <w:rFonts w:eastAsia="Microsoft YaHei UI"/>
                <w:color w:val="000000"/>
              </w:rPr>
              <w:t>firstOFDMSymbolInTimeDomain,</w:t>
            </w:r>
          </w:p>
          <w:p>
            <w:pPr>
              <w:widowControl w:val="0"/>
              <w:shd w:val="clear" w:color="auto" w:fill="FFFFFF"/>
              <w:spacing w:before="0" w:beforeLines="0" w:after="0" w:afterLines="0"/>
              <w:ind w:left="2256" w:hanging="360"/>
              <w:rPr>
                <w:rFonts w:ascii="Microsoft YaHei UI" w:hAnsi="Microsoft YaHei UI" w:eastAsia="Microsoft YaHei UI" w:cs="宋体"/>
                <w:color w:val="000000"/>
                <w:szCs w:val="21"/>
              </w:rPr>
            </w:pPr>
            <w:r>
              <w:rPr>
                <w:rFonts w:ascii="Wingdings" w:hAnsi="Wingdings" w:eastAsia="Microsoft YaHei UI" w:cs="宋体"/>
                <w:color w:val="000000"/>
              </w:rPr>
              <w:t></w:t>
            </w:r>
            <w:r>
              <w:rPr>
                <w:rFonts w:eastAsia="Microsoft YaHei UI"/>
                <w:color w:val="000000"/>
                <w:sz w:val="14"/>
                <w:szCs w:val="14"/>
              </w:rPr>
              <w:t>  </w:t>
            </w:r>
            <w:r>
              <w:rPr>
                <w:rFonts w:eastAsia="Microsoft YaHei UI"/>
                <w:color w:val="000000"/>
              </w:rPr>
              <w:t>‘frequencyDomainAllocation for row1’, ‘startingRB’ ,‘nrofRBs’,’powerControlOffsetSS’, periodicityAndOffset’</w:t>
            </w:r>
          </w:p>
          <w:p>
            <w:pPr>
              <w:widowControl w:val="0"/>
              <w:shd w:val="clear" w:color="auto" w:fill="FFFFFF"/>
              <w:spacing w:before="0" w:beforeLines="0" w:after="0" w:afterLines="0"/>
              <w:ind w:left="2256" w:hanging="360"/>
              <w:rPr>
                <w:rFonts w:ascii="Microsoft YaHei UI" w:hAnsi="Microsoft YaHei UI" w:eastAsia="Microsoft YaHei UI" w:cs="宋体"/>
                <w:color w:val="000000"/>
                <w:szCs w:val="21"/>
              </w:rPr>
            </w:pPr>
            <w:r>
              <w:rPr>
                <w:rFonts w:ascii="Wingdings" w:hAnsi="Wingdings" w:eastAsia="Microsoft YaHei UI" w:cs="宋体"/>
                <w:color w:val="000000"/>
              </w:rPr>
              <w:t></w:t>
            </w:r>
            <w:r>
              <w:rPr>
                <w:rFonts w:eastAsia="Microsoft YaHei UI"/>
                <w:color w:val="000000"/>
                <w:sz w:val="14"/>
                <w:szCs w:val="14"/>
              </w:rPr>
              <w:t>  </w:t>
            </w:r>
            <w:r>
              <w:rPr>
                <w:rFonts w:eastAsia="Microsoft YaHei UI"/>
                <w:color w:val="000000"/>
              </w:rPr>
              <w:t>FFS</w:t>
            </w:r>
          </w:p>
          <w:p>
            <w:pPr>
              <w:widowControl w:val="0"/>
              <w:shd w:val="clear" w:color="auto" w:fill="FFFFFF"/>
              <w:spacing w:before="0" w:beforeLines="0" w:after="0" w:afterLines="0"/>
              <w:ind w:left="2976" w:hanging="360"/>
              <w:rPr>
                <w:rFonts w:ascii="Microsoft YaHei UI" w:hAnsi="Microsoft YaHei UI" w:eastAsia="Microsoft YaHei UI" w:cs="宋体"/>
                <w:color w:val="000000"/>
                <w:szCs w:val="21"/>
              </w:rPr>
            </w:pPr>
            <w:r>
              <w:rPr>
                <w:rFonts w:ascii="Symbol" w:hAnsi="Symbol" w:eastAsia="Microsoft YaHei UI" w:cs="宋体"/>
                <w:color w:val="000000"/>
              </w:rPr>
              <w:t></w:t>
            </w:r>
            <w:r>
              <w:rPr>
                <w:rFonts w:eastAsia="Microsoft YaHei UI"/>
                <w:color w:val="000000"/>
                <w:sz w:val="14"/>
                <w:szCs w:val="14"/>
              </w:rPr>
              <w:t>        </w:t>
            </w:r>
            <w:r>
              <w:rPr>
                <w:rFonts w:eastAsia="Microsoft YaHei UI"/>
                <w:color w:val="000000"/>
              </w:rPr>
              <w:t>scramblingID,</w:t>
            </w:r>
          </w:p>
          <w:p>
            <w:pPr>
              <w:widowControl w:val="0"/>
              <w:shd w:val="clear" w:color="auto" w:fill="FFFFFF"/>
              <w:spacing w:before="0" w:beforeLines="0" w:after="0" w:afterLines="0"/>
              <w:ind w:left="2976" w:hanging="360"/>
              <w:rPr>
                <w:rFonts w:ascii="Microsoft YaHei UI" w:hAnsi="Microsoft YaHei UI" w:eastAsia="Microsoft YaHei UI" w:cs="宋体"/>
                <w:color w:val="000000"/>
                <w:szCs w:val="21"/>
              </w:rPr>
            </w:pPr>
            <w:r>
              <w:rPr>
                <w:rFonts w:ascii="Symbol" w:hAnsi="Symbol" w:eastAsia="Microsoft YaHei UI" w:cs="宋体"/>
                <w:color w:val="000000"/>
              </w:rPr>
              <w:t></w:t>
            </w:r>
            <w:r>
              <w:rPr>
                <w:rFonts w:eastAsia="Microsoft YaHei UI"/>
                <w:color w:val="000000"/>
                <w:sz w:val="14"/>
                <w:szCs w:val="14"/>
              </w:rPr>
              <w:t>        </w:t>
            </w:r>
            <w:r>
              <w:rPr>
                <w:rFonts w:eastAsia="Microsoft YaHei UI"/>
                <w:color w:val="000000"/>
              </w:rPr>
              <w:t>a TRS resource set ID, number of slots {1, 2} or number of symbols {2, 4} if supported</w:t>
            </w:r>
          </w:p>
          <w:p>
            <w:pPr>
              <w:widowControl w:val="0"/>
              <w:spacing w:before="0" w:beforeLines="0" w:after="120" w:afterLines="0"/>
              <w:rPr>
                <w:bCs/>
                <w:szCs w:val="21"/>
              </w:rPr>
            </w:pPr>
            <w:r>
              <w:rPr>
                <w:rFonts w:ascii="Symbol" w:hAnsi="Symbol" w:eastAsia="Microsoft YaHei UI" w:cs="宋体"/>
                <w:color w:val="000000"/>
              </w:rPr>
              <w:t></w:t>
            </w:r>
            <w:r>
              <w:rPr>
                <w:rFonts w:eastAsia="Microsoft YaHei UI"/>
                <w:color w:val="000000"/>
                <w:sz w:val="14"/>
                <w:szCs w:val="14"/>
              </w:rPr>
              <w:t>        </w:t>
            </w:r>
            <w:r>
              <w:rPr>
                <w:rFonts w:eastAsia="Microsoft YaHei UI"/>
                <w:color w:val="000000"/>
              </w:rPr>
              <w:t>Note: the ‘TRS resource set’ configuration is not (necessarily) identical to ‘NZP-CSI-RS-ResourceSet’ configuration for TRS</w:t>
            </w:r>
            <w:r>
              <w:rPr>
                <w:rFonts w:eastAsia="Microsoft YaHei UI"/>
                <w:i/>
                <w:iCs/>
                <w:color w:val="000000"/>
              </w:rPr>
              <w:t> </w:t>
            </w:r>
            <w:r>
              <w:rPr>
                <w:rFonts w:eastAsia="Microsoft YaHei UI"/>
                <w:color w:val="000000"/>
              </w:rPr>
              <w:t>in R15/16.</w:t>
            </w:r>
          </w:p>
        </w:tc>
      </w:tr>
    </w:tbl>
    <w:p>
      <w:pPr>
        <w:spacing w:before="120" w:after="120" w:afterAutospacing="1"/>
        <w:rPr>
          <w:bCs/>
          <w:szCs w:val="21"/>
        </w:rPr>
      </w:pPr>
      <w:r>
        <w:rPr>
          <w:bCs/>
          <w:szCs w:val="21"/>
        </w:rPr>
        <w:t xml:space="preserve">If two neighboring cells apply the same scrambling ID on the same REs, the TRS in these two cells might interfere each other. Hence, the scrambling ID should be different among different TRS </w:t>
      </w:r>
      <w:r>
        <w:rPr>
          <w:rFonts w:eastAsia="Microsoft YaHei UI"/>
          <w:color w:val="000000"/>
        </w:rPr>
        <w:t xml:space="preserve">resources to mitigate interference. As the information such as symbol location has already been considered in </w:t>
      </w:r>
      <w:r>
        <w:rPr>
          <w:bCs/>
          <w:szCs w:val="21"/>
        </w:rPr>
        <w:t>initial seed c</w:t>
      </w:r>
      <w:r>
        <w:rPr>
          <w:bCs/>
          <w:szCs w:val="21"/>
          <w:vertAlign w:val="subscript"/>
        </w:rPr>
        <w:t xml:space="preserve">init </w:t>
      </w:r>
      <w:r>
        <w:rPr>
          <w:bCs/>
          <w:szCs w:val="21"/>
        </w:rPr>
        <w:t>according to the TRS sequence generation in TS38.211, the scrambling ID can be a parameter common to the resource set.</w:t>
      </w:r>
    </w:p>
    <w:p>
      <w:pPr>
        <w:pStyle w:val="28"/>
      </w:pPr>
      <w:bookmarkStart w:id="14" w:name="_Toc87032563"/>
      <w:bookmarkStart w:id="15" w:name="_Toc78"/>
      <w:bookmarkStart w:id="16" w:name="_Toc20901"/>
      <w:bookmarkStart w:id="17" w:name="_Toc26136"/>
      <w:bookmarkStart w:id="18" w:name="_Toc3580"/>
      <w:bookmarkStart w:id="19" w:name="_Toc17829"/>
      <w:r>
        <w:t xml:space="preserve">The configuration of scrambling ID is needed to </w:t>
      </w:r>
      <w:r>
        <w:rPr>
          <w:rFonts w:eastAsia="Microsoft YaHei UI"/>
          <w:color w:val="000000"/>
        </w:rPr>
        <w:t>mitigate interference.</w:t>
      </w:r>
      <w:bookmarkEnd w:id="14"/>
      <w:r>
        <w:t xml:space="preserve"> </w:t>
      </w:r>
      <w:bookmarkEnd w:id="15"/>
      <w:bookmarkEnd w:id="16"/>
      <w:bookmarkEnd w:id="17"/>
      <w:bookmarkEnd w:id="18"/>
      <w:bookmarkEnd w:id="19"/>
    </w:p>
    <w:p>
      <w:pPr>
        <w:pStyle w:val="29"/>
      </w:pPr>
      <w:bookmarkStart w:id="20" w:name="_Toc87032470"/>
      <w:r>
        <w:t>The scramblingID can be configured as a common parameter per resource set.</w:t>
      </w:r>
      <w:bookmarkEnd w:id="20"/>
    </w:p>
    <w:p>
      <w:pPr>
        <w:spacing w:before="120" w:after="120"/>
        <w:rPr>
          <w:bCs/>
          <w:szCs w:val="21"/>
        </w:rPr>
      </w:pPr>
      <w:r>
        <w:rPr>
          <w:bCs/>
          <w:szCs w:val="21"/>
        </w:rPr>
        <w:t>According to current TS38.214 CR in [3] which is copied as follows, for FR2, the configured TRS resource set can be in</w:t>
      </w:r>
      <w:r>
        <w:t xml:space="preserve"> </w:t>
      </w:r>
      <w:r>
        <w:rPr>
          <w:bCs/>
          <w:szCs w:val="21"/>
        </w:rPr>
        <w:t xml:space="preserve">one slot or two consecutive slots. Since the parameters in time domain of TRS resource, such as </w:t>
      </w:r>
      <w:r>
        <w:rPr>
          <w:rFonts w:eastAsia="Microsoft YaHei UI"/>
          <w:color w:val="000000"/>
        </w:rPr>
        <w:t xml:space="preserve">periodicityAndOffset, </w:t>
      </w:r>
      <w:r>
        <w:rPr>
          <w:bCs/>
          <w:szCs w:val="21"/>
        </w:rPr>
        <w:t>are configured per resource set according to the agreements, the parameter “number of slots” is needed as a common parameter to distinguish the TRS resource sets with one or two slots in FR2. Hence, we have the following proposal.</w:t>
      </w:r>
    </w:p>
    <w:p>
      <w:pPr>
        <w:pStyle w:val="29"/>
      </w:pPr>
      <w:bookmarkStart w:id="21" w:name="_Toc87032471"/>
      <w:r>
        <w:t>The number of slot of TRS/CSI-RS occasion(s) should be configured as a common parameter common in TRS resource set.</w:t>
      </w:r>
      <w:bookmarkEnd w:id="21"/>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autoSpaceDE w:val="0"/>
              <w:autoSpaceDN w:val="0"/>
              <w:adjustRightInd w:val="0"/>
              <w:spacing w:before="120" w:after="120"/>
              <w:rPr>
                <w:szCs w:val="21"/>
              </w:rPr>
            </w:pPr>
            <w:r>
              <w:rPr>
                <w:bCs/>
                <w:szCs w:val="21"/>
                <w:highlight w:val="yellow"/>
              </w:rPr>
              <w:t>TS38.214</w:t>
            </w:r>
            <w:r>
              <w:rPr>
                <w:bCs/>
                <w:szCs w:val="21"/>
              </w:rPr>
              <w:t xml:space="preserve"> CR.</w:t>
            </w:r>
          </w:p>
          <w:p>
            <w:pPr>
              <w:widowControl w:val="0"/>
              <w:spacing w:before="120" w:after="120"/>
              <w:rPr>
                <w:kern w:val="0"/>
                <w:sz w:val="24"/>
              </w:rPr>
            </w:pPr>
            <w:r>
              <w:t>A UE in RRC_IDLE or RRC_INACTIVE can receive a higher layer configuration of TRS occasions via a [</w:t>
            </w:r>
            <w:r>
              <w:rPr>
                <w:i/>
                <w:iCs/>
              </w:rPr>
              <w:t>TRS-ResourceSetConfig</w:t>
            </w:r>
            <w:r>
              <w:t xml:space="preserve">]. </w:t>
            </w:r>
          </w:p>
          <w:p>
            <w:pPr>
              <w:pStyle w:val="61"/>
              <w:widowControl w:val="0"/>
              <w:spacing w:before="120" w:after="120"/>
            </w:pPr>
            <w:r>
              <w:t>-</w:t>
            </w:r>
            <w:r>
              <w:tab/>
            </w:r>
            <w:r>
              <w:t>For frequency range 1, the UE may be configured with one or more TRS resource set(s), where each TRS resource set configured by a [</w:t>
            </w:r>
            <w:r>
              <w:rPr>
                <w:i/>
                <w:iCs/>
              </w:rPr>
              <w:t>TRS-ResourceSet</w:t>
            </w:r>
            <w:r>
              <w:t xml:space="preserve">] consists of four periodic NZP CSI-RS resources in two consecutive slots with two periodic NZP CSI-RS resources in each slot. </w:t>
            </w:r>
          </w:p>
          <w:p>
            <w:pPr>
              <w:pStyle w:val="61"/>
              <w:widowControl w:val="0"/>
              <w:spacing w:before="120" w:after="120"/>
            </w:pPr>
            <w:r>
              <w:t>-</w:t>
            </w:r>
            <w:r>
              <w:tab/>
            </w:r>
            <w:r>
              <w:t>For frequency range 2 the UE may be configured with one or more TRS resource set(s), where each TRS resource set configured by a [</w:t>
            </w:r>
            <w:r>
              <w:rPr>
                <w:i/>
                <w:iCs/>
              </w:rPr>
              <w:t>TRS-ResourceSet</w:t>
            </w:r>
            <w:r>
              <w:t>] consists of two periodic NZP CSI-RS resources in one slot or by a [</w:t>
            </w:r>
            <w:r>
              <w:rPr>
                <w:i/>
                <w:iCs/>
              </w:rPr>
              <w:t>TRS-ResourceSet</w:t>
            </w:r>
            <w:r>
              <w:t xml:space="preserve">] of four periodic NZP CSI-RS resources in two consecutive slots with two periodic NZP CSI-RS resources in each slot. </w:t>
            </w:r>
          </w:p>
        </w:tc>
      </w:tr>
    </w:tbl>
    <w:p>
      <w:pPr>
        <w:pStyle w:val="28"/>
        <w:numPr>
          <w:ilvl w:val="0"/>
          <w:numId w:val="0"/>
        </w:numPr>
      </w:pPr>
    </w:p>
    <w:p>
      <w:pPr>
        <w:spacing w:before="120" w:after="120" w:afterAutospacing="1"/>
      </w:pPr>
      <w:r>
        <w:t>The number of bits for TRS resource configuration are provided in Table 1, wherein it is assumed that the scramble ID and number of slots are per resource set, TRS resource s</w:t>
      </w:r>
      <w:r>
        <w:rPr>
          <w:rFonts w:hint="eastAsia"/>
        </w:rPr>
        <w:t>et ID is included</w:t>
      </w:r>
      <w:r>
        <w:t xml:space="preserve"> to distinguish the TRS resource set. </w:t>
      </w:r>
      <w:r>
        <w:rPr>
          <w:bCs/>
          <w:szCs w:val="21"/>
        </w:rPr>
        <w:t xml:space="preserve">It can be seen from the table that if the maximum number of resource set is assumed to be 64, the total signaling overhead is 3456 and </w:t>
      </w:r>
      <w:r>
        <w:rPr>
          <w:szCs w:val="21"/>
        </w:rPr>
        <w:t>3840</w:t>
      </w:r>
      <w:r>
        <w:rPr>
          <w:bCs/>
          <w:szCs w:val="21"/>
        </w:rPr>
        <w:t xml:space="preserve"> bits, respectively, which are larger than the SIB limitation (i.e., 2976 bits). </w:t>
      </w:r>
    </w:p>
    <w:p>
      <w:pPr>
        <w:pStyle w:val="28"/>
      </w:pPr>
      <w:bookmarkStart w:id="22" w:name="_Toc87032564"/>
      <w:r>
        <w:t xml:space="preserve">For FR2, there are at most </w:t>
      </w:r>
      <w:r>
        <w:rPr>
          <w:rFonts w:hint="eastAsia"/>
        </w:rPr>
        <w:t>49</w:t>
      </w:r>
      <w:r>
        <w:t xml:space="preserve"> TRS resource sets with </w:t>
      </w:r>
      <w:r>
        <w:rPr>
          <w:rFonts w:hint="eastAsia"/>
        </w:rPr>
        <w:t>49</w:t>
      </w:r>
      <w:r>
        <w:t xml:space="preserve"> different beams can be configured by one SIB message (less than 64 beams).</w:t>
      </w:r>
      <w:bookmarkEnd w:id="22"/>
      <w:bookmarkStart w:id="23" w:name="_Toc87032455"/>
      <w:bookmarkEnd w:id="23"/>
      <w:bookmarkStart w:id="24" w:name="_Toc87032565"/>
      <w:bookmarkEnd w:id="24"/>
      <w:bookmarkStart w:id="25" w:name="_Toc87032566"/>
      <w:bookmarkEnd w:id="25"/>
      <w:bookmarkStart w:id="26" w:name="_Toc87032567"/>
      <w:bookmarkEnd w:id="26"/>
    </w:p>
    <w:p>
      <w:pPr>
        <w:spacing w:before="120" w:after="120"/>
      </w:pPr>
      <w:bookmarkStart w:id="27" w:name="_Toc87021840"/>
      <w:bookmarkEnd w:id="27"/>
    </w:p>
    <w:p>
      <w:pPr>
        <w:spacing w:before="120" w:after="120"/>
        <w:jc w:val="center"/>
      </w:pPr>
      <w:r>
        <w:t>Table 1   Number of bits for TRS configuration</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3292"/>
        <w:gridCol w:w="3292"/>
        <w:gridCol w:w="3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jc w:val="center"/>
        </w:trPr>
        <w:tc>
          <w:tcPr>
            <w:tcW w:w="3281" w:type="dxa"/>
            <w:shd w:val="clear" w:color="auto" w:fill="FFFFFF"/>
          </w:tcPr>
          <w:p>
            <w:pPr>
              <w:widowControl w:val="0"/>
              <w:overflowPunct w:val="0"/>
              <w:autoSpaceDE w:val="0"/>
              <w:autoSpaceDN w:val="0"/>
              <w:adjustRightInd w:val="0"/>
              <w:spacing w:before="120" w:after="120"/>
              <w:textAlignment w:val="baseline"/>
              <w:rPr>
                <w:szCs w:val="21"/>
              </w:rPr>
            </w:pPr>
            <w:r>
              <w:t>P</w:t>
            </w:r>
            <w:r>
              <w:rPr>
                <w:lang w:eastAsia="en-US"/>
              </w:rPr>
              <w:t>arameters</w:t>
            </w:r>
          </w:p>
        </w:tc>
        <w:tc>
          <w:tcPr>
            <w:tcW w:w="2748" w:type="dxa"/>
            <w:shd w:val="clear" w:color="auto" w:fill="FFFFFF"/>
          </w:tcPr>
          <w:p>
            <w:pPr>
              <w:widowControl w:val="0"/>
              <w:overflowPunct w:val="0"/>
              <w:autoSpaceDE w:val="0"/>
              <w:autoSpaceDN w:val="0"/>
              <w:adjustRightInd w:val="0"/>
              <w:spacing w:before="120" w:after="120"/>
              <w:textAlignment w:val="baseline"/>
              <w:rPr>
                <w:szCs w:val="21"/>
              </w:rPr>
            </w:pPr>
            <w:r>
              <w:rPr>
                <w:lang w:eastAsia="en-US"/>
              </w:rPr>
              <w:t>Number of bits required for FR 1 (Z=8 beams at most)</w:t>
            </w:r>
          </w:p>
        </w:tc>
        <w:tc>
          <w:tcPr>
            <w:tcW w:w="2930" w:type="dxa"/>
            <w:shd w:val="clear" w:color="auto" w:fill="FFFFFF"/>
          </w:tcPr>
          <w:p>
            <w:pPr>
              <w:widowControl w:val="0"/>
              <w:overflowPunct w:val="0"/>
              <w:autoSpaceDE w:val="0"/>
              <w:autoSpaceDN w:val="0"/>
              <w:adjustRightInd w:val="0"/>
              <w:spacing w:before="120" w:after="120"/>
              <w:textAlignment w:val="baseline"/>
              <w:rPr>
                <w:lang w:eastAsia="en-US"/>
              </w:rPr>
            </w:pPr>
            <w:r>
              <w:rPr>
                <w:lang w:eastAsia="en-US"/>
              </w:rPr>
              <w:t>Number of bits required for FR 2 (Z=64 beams at most)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1" w:type="dxa"/>
            <w:shd w:val="clear" w:color="auto" w:fill="FFFFFF"/>
          </w:tcPr>
          <w:p>
            <w:pPr>
              <w:widowControl w:val="0"/>
              <w:overflowPunct w:val="0"/>
              <w:autoSpaceDE w:val="0"/>
              <w:autoSpaceDN w:val="0"/>
              <w:adjustRightInd w:val="0"/>
              <w:spacing w:before="120" w:after="120"/>
              <w:textAlignment w:val="baseline"/>
              <w:rPr>
                <w:szCs w:val="21"/>
              </w:rPr>
            </w:pPr>
            <w:r>
              <w:rPr>
                <w:szCs w:val="21"/>
              </w:rPr>
              <w:t>a QCL reference</w:t>
            </w:r>
          </w:p>
        </w:tc>
        <w:tc>
          <w:tcPr>
            <w:tcW w:w="2748" w:type="dxa"/>
            <w:shd w:val="clear" w:color="auto" w:fill="FFFFFF"/>
          </w:tcPr>
          <w:p>
            <w:pPr>
              <w:widowControl w:val="0"/>
              <w:overflowPunct w:val="0"/>
              <w:autoSpaceDE w:val="0"/>
              <w:autoSpaceDN w:val="0"/>
              <w:adjustRightInd w:val="0"/>
              <w:spacing w:before="120" w:after="120"/>
              <w:textAlignment w:val="baseline"/>
              <w:rPr>
                <w:szCs w:val="21"/>
              </w:rPr>
            </w:pPr>
            <w:r>
              <w:rPr>
                <w:szCs w:val="21"/>
              </w:rPr>
              <w:t>3</w:t>
            </w:r>
          </w:p>
        </w:tc>
        <w:tc>
          <w:tcPr>
            <w:tcW w:w="2930" w:type="dxa"/>
            <w:shd w:val="clear" w:color="auto" w:fill="FFFFFF"/>
          </w:tcPr>
          <w:p>
            <w:pPr>
              <w:widowControl w:val="0"/>
              <w:overflowPunct w:val="0"/>
              <w:autoSpaceDE w:val="0"/>
              <w:autoSpaceDN w:val="0"/>
              <w:adjustRightInd w:val="0"/>
              <w:spacing w:before="120" w:after="120"/>
              <w:textAlignment w:val="baseline"/>
              <w:rPr>
                <w:lang w:eastAsia="en-US"/>
              </w:rPr>
            </w:pPr>
            <w:r>
              <w:rPr>
                <w:lang w:eastAsia="en-U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1" w:type="dxa"/>
            <w:shd w:val="clear" w:color="auto" w:fill="FFFFFF"/>
          </w:tcPr>
          <w:p>
            <w:pPr>
              <w:widowControl w:val="0"/>
              <w:overflowPunct w:val="0"/>
              <w:autoSpaceDE w:val="0"/>
              <w:autoSpaceDN w:val="0"/>
              <w:adjustRightInd w:val="0"/>
              <w:spacing w:before="120" w:after="120"/>
              <w:textAlignment w:val="baseline"/>
              <w:rPr>
                <w:szCs w:val="21"/>
              </w:rPr>
            </w:pPr>
            <w:r>
              <w:rPr>
                <w:szCs w:val="21"/>
              </w:rPr>
              <w:t>firstOFDMSymbolInTimeDomain (in range of 0,1,2, ... , 9)</w:t>
            </w:r>
          </w:p>
        </w:tc>
        <w:tc>
          <w:tcPr>
            <w:tcW w:w="2748" w:type="dxa"/>
            <w:shd w:val="clear" w:color="auto" w:fill="FFFFFF"/>
          </w:tcPr>
          <w:p>
            <w:pPr>
              <w:widowControl w:val="0"/>
              <w:overflowPunct w:val="0"/>
              <w:autoSpaceDE w:val="0"/>
              <w:autoSpaceDN w:val="0"/>
              <w:adjustRightInd w:val="0"/>
              <w:spacing w:before="120" w:after="120"/>
              <w:textAlignment w:val="baseline"/>
              <w:rPr>
                <w:szCs w:val="21"/>
              </w:rPr>
            </w:pPr>
            <w:r>
              <w:rPr>
                <w:szCs w:val="21"/>
              </w:rPr>
              <w:t>4</w:t>
            </w:r>
          </w:p>
        </w:tc>
        <w:tc>
          <w:tcPr>
            <w:tcW w:w="2930" w:type="dxa"/>
            <w:shd w:val="clear" w:color="auto" w:fill="FFFFFF"/>
          </w:tcPr>
          <w:p>
            <w:pPr>
              <w:widowControl w:val="0"/>
              <w:overflowPunct w:val="0"/>
              <w:autoSpaceDE w:val="0"/>
              <w:autoSpaceDN w:val="0"/>
              <w:adjustRightInd w:val="0"/>
              <w:spacing w:before="120" w:after="120"/>
              <w:textAlignment w:val="baseline"/>
              <w:rPr>
                <w:lang w:eastAsia="en-US"/>
              </w:rPr>
            </w:pPr>
            <w:r>
              <w:rPr>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1" w:type="dxa"/>
            <w:shd w:val="clear" w:color="auto" w:fill="FFFFFF"/>
          </w:tcPr>
          <w:p>
            <w:pPr>
              <w:widowControl w:val="0"/>
              <w:overflowPunct w:val="0"/>
              <w:autoSpaceDE w:val="0"/>
              <w:autoSpaceDN w:val="0"/>
              <w:adjustRightInd w:val="0"/>
              <w:spacing w:before="120" w:after="120"/>
              <w:textAlignment w:val="baseline"/>
              <w:rPr>
                <w:szCs w:val="21"/>
              </w:rPr>
            </w:pPr>
            <w:r>
              <w:rPr>
                <w:szCs w:val="21"/>
              </w:rPr>
              <w:t>frequencyDomainAllocation for row1 (in range of 0,1,2,3)</w:t>
            </w:r>
          </w:p>
        </w:tc>
        <w:tc>
          <w:tcPr>
            <w:tcW w:w="2748" w:type="dxa"/>
            <w:shd w:val="clear" w:color="auto" w:fill="FFFFFF"/>
          </w:tcPr>
          <w:p>
            <w:pPr>
              <w:widowControl w:val="0"/>
              <w:overflowPunct w:val="0"/>
              <w:autoSpaceDE w:val="0"/>
              <w:autoSpaceDN w:val="0"/>
              <w:adjustRightInd w:val="0"/>
              <w:spacing w:before="120" w:after="120"/>
              <w:textAlignment w:val="baseline"/>
              <w:rPr>
                <w:szCs w:val="21"/>
              </w:rPr>
            </w:pPr>
            <w:r>
              <w:rPr>
                <w:szCs w:val="21"/>
              </w:rPr>
              <w:t>2</w:t>
            </w:r>
          </w:p>
        </w:tc>
        <w:tc>
          <w:tcPr>
            <w:tcW w:w="2930" w:type="dxa"/>
            <w:shd w:val="clear" w:color="auto" w:fill="FFFFFF"/>
          </w:tcPr>
          <w:p>
            <w:pPr>
              <w:widowControl w:val="0"/>
              <w:overflowPunct w:val="0"/>
              <w:autoSpaceDE w:val="0"/>
              <w:autoSpaceDN w:val="0"/>
              <w:adjustRightInd w:val="0"/>
              <w:spacing w:before="120" w:after="120"/>
              <w:textAlignment w:val="baseline"/>
              <w:rPr>
                <w:lang w:eastAsia="en-US"/>
              </w:rPr>
            </w:pPr>
            <w:r>
              <w:rPr>
                <w:lang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1" w:type="dxa"/>
            <w:shd w:val="clear" w:color="auto" w:fill="FFFFFF"/>
          </w:tcPr>
          <w:p>
            <w:pPr>
              <w:widowControl w:val="0"/>
              <w:overflowPunct w:val="0"/>
              <w:autoSpaceDE w:val="0"/>
              <w:autoSpaceDN w:val="0"/>
              <w:adjustRightInd w:val="0"/>
              <w:spacing w:before="120" w:after="120"/>
              <w:textAlignment w:val="baseline"/>
              <w:rPr>
                <w:szCs w:val="21"/>
              </w:rPr>
            </w:pPr>
            <w:r>
              <w:rPr>
                <w:szCs w:val="21"/>
              </w:rPr>
              <w:t>startingRB</w:t>
            </w:r>
          </w:p>
        </w:tc>
        <w:tc>
          <w:tcPr>
            <w:tcW w:w="2748" w:type="dxa"/>
            <w:shd w:val="clear" w:color="auto" w:fill="FFFFFF"/>
          </w:tcPr>
          <w:p>
            <w:pPr>
              <w:widowControl w:val="0"/>
              <w:overflowPunct w:val="0"/>
              <w:autoSpaceDE w:val="0"/>
              <w:autoSpaceDN w:val="0"/>
              <w:adjustRightInd w:val="0"/>
              <w:spacing w:before="120" w:after="120"/>
              <w:textAlignment w:val="baseline"/>
              <w:rPr>
                <w:szCs w:val="21"/>
              </w:rPr>
            </w:pPr>
            <w:r>
              <w:rPr>
                <w:szCs w:val="21"/>
              </w:rPr>
              <w:t>9</w:t>
            </w:r>
          </w:p>
        </w:tc>
        <w:tc>
          <w:tcPr>
            <w:tcW w:w="2930" w:type="dxa"/>
            <w:shd w:val="clear" w:color="auto" w:fill="FFFFFF"/>
          </w:tcPr>
          <w:p>
            <w:pPr>
              <w:widowControl w:val="0"/>
              <w:overflowPunct w:val="0"/>
              <w:autoSpaceDE w:val="0"/>
              <w:autoSpaceDN w:val="0"/>
              <w:adjustRightInd w:val="0"/>
              <w:spacing w:before="120" w:after="120"/>
              <w:textAlignment w:val="baseline"/>
              <w:rPr>
                <w:lang w:eastAsia="en-US"/>
              </w:rPr>
            </w:pPr>
            <w:r>
              <w:rPr>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1" w:type="dxa"/>
            <w:shd w:val="clear" w:color="auto" w:fill="FFFFFF"/>
          </w:tcPr>
          <w:p>
            <w:pPr>
              <w:widowControl w:val="0"/>
              <w:overflowPunct w:val="0"/>
              <w:autoSpaceDE w:val="0"/>
              <w:autoSpaceDN w:val="0"/>
              <w:adjustRightInd w:val="0"/>
              <w:spacing w:before="120" w:after="120"/>
              <w:textAlignment w:val="baseline"/>
              <w:rPr>
                <w:szCs w:val="21"/>
              </w:rPr>
            </w:pPr>
            <w:r>
              <w:rPr>
                <w:szCs w:val="21"/>
              </w:rPr>
              <w:t>nrofRBs</w:t>
            </w:r>
          </w:p>
        </w:tc>
        <w:tc>
          <w:tcPr>
            <w:tcW w:w="2748" w:type="dxa"/>
            <w:shd w:val="clear" w:color="auto" w:fill="FFFFFF"/>
          </w:tcPr>
          <w:p>
            <w:pPr>
              <w:widowControl w:val="0"/>
              <w:overflowPunct w:val="0"/>
              <w:autoSpaceDE w:val="0"/>
              <w:autoSpaceDN w:val="0"/>
              <w:adjustRightInd w:val="0"/>
              <w:spacing w:before="120" w:after="120"/>
              <w:textAlignment w:val="baseline"/>
              <w:rPr>
                <w:szCs w:val="21"/>
              </w:rPr>
            </w:pPr>
            <w:r>
              <w:rPr>
                <w:szCs w:val="21"/>
              </w:rPr>
              <w:t>9</w:t>
            </w:r>
          </w:p>
        </w:tc>
        <w:tc>
          <w:tcPr>
            <w:tcW w:w="2930" w:type="dxa"/>
            <w:shd w:val="clear" w:color="auto" w:fill="FFFFFF"/>
          </w:tcPr>
          <w:p>
            <w:pPr>
              <w:widowControl w:val="0"/>
              <w:overflowPunct w:val="0"/>
              <w:autoSpaceDE w:val="0"/>
              <w:autoSpaceDN w:val="0"/>
              <w:adjustRightInd w:val="0"/>
              <w:spacing w:before="120" w:after="120"/>
              <w:textAlignment w:val="baseline"/>
              <w:rPr>
                <w:szCs w:val="21"/>
              </w:rPr>
            </w:pPr>
            <w:r>
              <w:rPr>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1" w:type="dxa"/>
            <w:shd w:val="clear" w:color="auto" w:fill="FFFFFF"/>
          </w:tcPr>
          <w:p>
            <w:pPr>
              <w:widowControl w:val="0"/>
              <w:overflowPunct w:val="0"/>
              <w:autoSpaceDE w:val="0"/>
              <w:autoSpaceDN w:val="0"/>
              <w:adjustRightInd w:val="0"/>
              <w:spacing w:before="120" w:after="120"/>
              <w:textAlignment w:val="baseline"/>
              <w:rPr>
                <w:szCs w:val="21"/>
              </w:rPr>
            </w:pPr>
            <w:r>
              <w:rPr>
                <w:szCs w:val="21"/>
              </w:rPr>
              <w:t>powerControlOffsetSS (with 4 value)</w:t>
            </w:r>
          </w:p>
        </w:tc>
        <w:tc>
          <w:tcPr>
            <w:tcW w:w="2748" w:type="dxa"/>
            <w:shd w:val="clear" w:color="auto" w:fill="FFFFFF"/>
          </w:tcPr>
          <w:p>
            <w:pPr>
              <w:widowControl w:val="0"/>
              <w:overflowPunct w:val="0"/>
              <w:autoSpaceDE w:val="0"/>
              <w:autoSpaceDN w:val="0"/>
              <w:adjustRightInd w:val="0"/>
              <w:spacing w:before="120" w:after="120"/>
              <w:textAlignment w:val="baseline"/>
              <w:rPr>
                <w:szCs w:val="21"/>
              </w:rPr>
            </w:pPr>
            <w:r>
              <w:rPr>
                <w:szCs w:val="21"/>
              </w:rPr>
              <w:t>2</w:t>
            </w:r>
          </w:p>
        </w:tc>
        <w:tc>
          <w:tcPr>
            <w:tcW w:w="2930" w:type="dxa"/>
            <w:shd w:val="clear" w:color="auto" w:fill="FFFFFF"/>
          </w:tcPr>
          <w:p>
            <w:pPr>
              <w:widowControl w:val="0"/>
              <w:overflowPunct w:val="0"/>
              <w:autoSpaceDE w:val="0"/>
              <w:autoSpaceDN w:val="0"/>
              <w:adjustRightInd w:val="0"/>
              <w:spacing w:before="120" w:after="120"/>
              <w:textAlignment w:val="baseline"/>
              <w:rPr>
                <w:szCs w:val="21"/>
              </w:rPr>
            </w:pPr>
            <w:r>
              <w:rPr>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1" w:type="dxa"/>
            <w:shd w:val="clear" w:color="auto" w:fill="FFFFFF"/>
          </w:tcPr>
          <w:p>
            <w:pPr>
              <w:widowControl w:val="0"/>
              <w:overflowPunct w:val="0"/>
              <w:autoSpaceDE w:val="0"/>
              <w:autoSpaceDN w:val="0"/>
              <w:adjustRightInd w:val="0"/>
              <w:spacing w:before="120" w:after="120"/>
              <w:textAlignment w:val="baseline"/>
              <w:rPr>
                <w:szCs w:val="21"/>
              </w:rPr>
            </w:pPr>
            <w:r>
              <w:rPr>
                <w:szCs w:val="21"/>
              </w:rPr>
              <w:t>periodicityAndOffset (at most 80ms, 60 kHz SCS at most for FR1, i.e., 320 slots, 120 kHz SCS at most for FR2, i.e., 640 slots)</w:t>
            </w:r>
          </w:p>
        </w:tc>
        <w:tc>
          <w:tcPr>
            <w:tcW w:w="2748" w:type="dxa"/>
            <w:shd w:val="clear" w:color="auto" w:fill="FFFFFF"/>
          </w:tcPr>
          <w:p>
            <w:pPr>
              <w:widowControl w:val="0"/>
              <w:overflowPunct w:val="0"/>
              <w:autoSpaceDE w:val="0"/>
              <w:autoSpaceDN w:val="0"/>
              <w:adjustRightInd w:val="0"/>
              <w:spacing w:before="120" w:after="120"/>
              <w:textAlignment w:val="baseline"/>
              <w:rPr>
                <w:szCs w:val="21"/>
              </w:rPr>
            </w:pPr>
            <w:r>
              <w:rPr>
                <w:szCs w:val="21"/>
              </w:rPr>
              <w:t>9</w:t>
            </w:r>
          </w:p>
        </w:tc>
        <w:tc>
          <w:tcPr>
            <w:tcW w:w="2930" w:type="dxa"/>
            <w:shd w:val="clear" w:color="auto" w:fill="FFFFFF"/>
          </w:tcPr>
          <w:p>
            <w:pPr>
              <w:widowControl w:val="0"/>
              <w:overflowPunct w:val="0"/>
              <w:autoSpaceDE w:val="0"/>
              <w:autoSpaceDN w:val="0"/>
              <w:adjustRightInd w:val="0"/>
              <w:spacing w:before="120" w:after="120"/>
              <w:textAlignment w:val="baseline"/>
              <w:rPr>
                <w:lang w:eastAsia="en-US"/>
              </w:rPr>
            </w:pPr>
            <w:r>
              <w:rPr>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1" w:type="dxa"/>
            <w:shd w:val="clear" w:color="auto" w:fill="92D050"/>
          </w:tcPr>
          <w:p>
            <w:pPr>
              <w:widowControl w:val="0"/>
              <w:overflowPunct w:val="0"/>
              <w:autoSpaceDE w:val="0"/>
              <w:autoSpaceDN w:val="0"/>
              <w:adjustRightInd w:val="0"/>
              <w:spacing w:before="120" w:after="120"/>
              <w:textAlignment w:val="baseline"/>
              <w:rPr>
                <w:szCs w:val="21"/>
              </w:rPr>
            </w:pPr>
            <w:r>
              <w:rPr>
                <w:rFonts w:eastAsia="Times New Roman"/>
              </w:rPr>
              <w:t>Total for common parameters</w:t>
            </w:r>
          </w:p>
        </w:tc>
        <w:tc>
          <w:tcPr>
            <w:tcW w:w="2748" w:type="dxa"/>
            <w:shd w:val="clear" w:color="auto" w:fill="92D050"/>
          </w:tcPr>
          <w:p>
            <w:pPr>
              <w:widowControl w:val="0"/>
              <w:overflowPunct w:val="0"/>
              <w:autoSpaceDE w:val="0"/>
              <w:autoSpaceDN w:val="0"/>
              <w:adjustRightInd w:val="0"/>
              <w:spacing w:before="120" w:after="120"/>
              <w:textAlignment w:val="baseline"/>
              <w:rPr>
                <w:szCs w:val="21"/>
              </w:rPr>
            </w:pPr>
            <w:r>
              <w:rPr>
                <w:szCs w:val="21"/>
              </w:rPr>
              <w:t>Y=38</w:t>
            </w:r>
          </w:p>
        </w:tc>
        <w:tc>
          <w:tcPr>
            <w:tcW w:w="2930" w:type="dxa"/>
            <w:shd w:val="clear" w:color="auto" w:fill="92D050"/>
          </w:tcPr>
          <w:p>
            <w:pPr>
              <w:widowControl w:val="0"/>
              <w:overflowPunct w:val="0"/>
              <w:autoSpaceDE w:val="0"/>
              <w:autoSpaceDN w:val="0"/>
              <w:adjustRightInd w:val="0"/>
              <w:spacing w:before="120" w:after="120"/>
              <w:textAlignment w:val="baseline"/>
              <w:rPr>
                <w:szCs w:val="21"/>
              </w:rPr>
            </w:pPr>
            <w:r>
              <w:rPr>
                <w:szCs w:val="21"/>
              </w:rPr>
              <w:t>Y=43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1" w:type="dxa"/>
            <w:shd w:val="clear" w:color="auto" w:fill="FFFFFF"/>
          </w:tcPr>
          <w:p>
            <w:pPr>
              <w:widowControl w:val="0"/>
              <w:overflowPunct w:val="0"/>
              <w:autoSpaceDE w:val="0"/>
              <w:autoSpaceDN w:val="0"/>
              <w:adjustRightInd w:val="0"/>
              <w:spacing w:before="120" w:after="120"/>
              <w:textAlignment w:val="baseline"/>
              <w:rPr>
                <w:szCs w:val="21"/>
              </w:rPr>
            </w:pPr>
            <w:r>
              <w:rPr>
                <w:rFonts w:eastAsia="Times New Roman"/>
              </w:rPr>
              <w:t xml:space="preserve">scramblingID (if </w:t>
            </w:r>
            <w:r>
              <w:rPr>
                <w:rFonts w:hint="eastAsia" w:eastAsiaTheme="minorEastAsia"/>
              </w:rPr>
              <w:t>agreed as</w:t>
            </w:r>
            <w:r>
              <w:rPr>
                <w:rFonts w:eastAsia="Times New Roman"/>
              </w:rPr>
              <w:t xml:space="preserve"> a common parameter)</w:t>
            </w:r>
          </w:p>
        </w:tc>
        <w:tc>
          <w:tcPr>
            <w:tcW w:w="2748" w:type="dxa"/>
            <w:shd w:val="clear" w:color="auto" w:fill="FFFFFF"/>
          </w:tcPr>
          <w:p>
            <w:pPr>
              <w:widowControl w:val="0"/>
              <w:overflowPunct w:val="0"/>
              <w:autoSpaceDE w:val="0"/>
              <w:autoSpaceDN w:val="0"/>
              <w:adjustRightInd w:val="0"/>
              <w:spacing w:before="120" w:after="120"/>
              <w:textAlignment w:val="baseline"/>
              <w:rPr>
                <w:szCs w:val="21"/>
              </w:rPr>
            </w:pPr>
            <w:r>
              <w:rPr>
                <w:szCs w:val="21"/>
              </w:rPr>
              <w:t>U=10</w:t>
            </w:r>
          </w:p>
        </w:tc>
        <w:tc>
          <w:tcPr>
            <w:tcW w:w="2930" w:type="dxa"/>
            <w:shd w:val="clear" w:color="auto" w:fill="FFFFFF"/>
          </w:tcPr>
          <w:p>
            <w:pPr>
              <w:widowControl w:val="0"/>
              <w:overflowPunct w:val="0"/>
              <w:autoSpaceDE w:val="0"/>
              <w:autoSpaceDN w:val="0"/>
              <w:adjustRightInd w:val="0"/>
              <w:spacing w:before="120" w:after="120"/>
              <w:textAlignment w:val="baseline"/>
              <w:rPr>
                <w:lang w:eastAsia="en-US"/>
              </w:rPr>
            </w:pPr>
            <w:r>
              <w:rPr>
                <w:szCs w:val="21"/>
              </w:rPr>
              <w:t>U=10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1" w:type="dxa"/>
            <w:shd w:val="clear" w:color="auto" w:fill="FFFFFF"/>
          </w:tcPr>
          <w:p>
            <w:pPr>
              <w:widowControl w:val="0"/>
              <w:overflowPunct w:val="0"/>
              <w:autoSpaceDE w:val="0"/>
              <w:autoSpaceDN w:val="0"/>
              <w:adjustRightInd w:val="0"/>
              <w:spacing w:before="120" w:after="120"/>
              <w:textAlignment w:val="baseline"/>
              <w:rPr>
                <w:szCs w:val="21"/>
              </w:rPr>
            </w:pPr>
            <w:r>
              <w:rPr>
                <w:szCs w:val="21"/>
              </w:rPr>
              <w:t>a TRS resource set ID</w:t>
            </w:r>
            <w:r>
              <w:rPr>
                <w:rFonts w:eastAsia="Times New Roman"/>
              </w:rPr>
              <w:t xml:space="preserve"> (if agreed as a common parameter)</w:t>
            </w:r>
          </w:p>
        </w:tc>
        <w:tc>
          <w:tcPr>
            <w:tcW w:w="2748" w:type="dxa"/>
            <w:shd w:val="clear" w:color="auto" w:fill="FFFFFF"/>
          </w:tcPr>
          <w:p>
            <w:pPr>
              <w:widowControl w:val="0"/>
              <w:overflowPunct w:val="0"/>
              <w:autoSpaceDE w:val="0"/>
              <w:autoSpaceDN w:val="0"/>
              <w:adjustRightInd w:val="0"/>
              <w:spacing w:before="120" w:after="120"/>
              <w:textAlignment w:val="baseline"/>
              <w:rPr>
                <w:szCs w:val="21"/>
              </w:rPr>
            </w:pPr>
            <w:r>
              <w:rPr>
                <w:szCs w:val="21"/>
              </w:rPr>
              <w:t>V=6 (for maxNrofNZP-CSI-RS-ResourceSets = 64)</w:t>
            </w:r>
          </w:p>
        </w:tc>
        <w:tc>
          <w:tcPr>
            <w:tcW w:w="2930" w:type="dxa"/>
            <w:shd w:val="clear" w:color="auto" w:fill="FFFFFF"/>
          </w:tcPr>
          <w:p>
            <w:pPr>
              <w:widowControl w:val="0"/>
              <w:overflowPunct w:val="0"/>
              <w:autoSpaceDE w:val="0"/>
              <w:autoSpaceDN w:val="0"/>
              <w:adjustRightInd w:val="0"/>
              <w:spacing w:before="120" w:after="120"/>
              <w:textAlignment w:val="baseline"/>
              <w:rPr>
                <w:lang w:eastAsia="en-US"/>
              </w:rPr>
            </w:pPr>
            <w:r>
              <w:rPr>
                <w:szCs w:val="21"/>
              </w:rPr>
              <w:t>V=6 (for maxNrofNZP-CSI-RS-ResourceSets =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1" w:type="dxa"/>
            <w:shd w:val="clear" w:color="auto" w:fill="FFFFFF"/>
          </w:tcPr>
          <w:p>
            <w:pPr>
              <w:widowControl w:val="0"/>
              <w:overflowPunct w:val="0"/>
              <w:autoSpaceDE w:val="0"/>
              <w:autoSpaceDN w:val="0"/>
              <w:adjustRightInd w:val="0"/>
              <w:spacing w:before="120" w:after="120"/>
              <w:textAlignment w:val="baseline"/>
              <w:rPr>
                <w:rFonts w:eastAsia="Times New Roman"/>
              </w:rPr>
            </w:pPr>
            <w:r>
              <w:rPr>
                <w:szCs w:val="21"/>
              </w:rPr>
              <w:t>number of slots {1, 2} or number of symbols {2, 4} if supported</w:t>
            </w:r>
            <w:r>
              <w:rPr>
                <w:rFonts w:eastAsia="Times New Roman"/>
              </w:rPr>
              <w:t xml:space="preserve"> (if </w:t>
            </w:r>
            <w:r>
              <w:rPr>
                <w:rFonts w:hint="eastAsia" w:eastAsiaTheme="minorEastAsia"/>
              </w:rPr>
              <w:t>agreed as</w:t>
            </w:r>
            <w:r>
              <w:rPr>
                <w:rFonts w:eastAsia="Times New Roman"/>
              </w:rPr>
              <w:t xml:space="preserve"> a common parameter)</w:t>
            </w:r>
          </w:p>
        </w:tc>
        <w:tc>
          <w:tcPr>
            <w:tcW w:w="2748" w:type="dxa"/>
            <w:shd w:val="clear" w:color="auto" w:fill="FFFFFF"/>
          </w:tcPr>
          <w:p>
            <w:pPr>
              <w:widowControl w:val="0"/>
              <w:overflowPunct w:val="0"/>
              <w:autoSpaceDE w:val="0"/>
              <w:autoSpaceDN w:val="0"/>
              <w:adjustRightInd w:val="0"/>
              <w:spacing w:before="120" w:after="120"/>
              <w:textAlignment w:val="baseline"/>
              <w:rPr>
                <w:szCs w:val="21"/>
              </w:rPr>
            </w:pPr>
            <w:r>
              <w:rPr>
                <w:szCs w:val="21"/>
              </w:rPr>
              <w:t>W=</w:t>
            </w:r>
            <w:r>
              <w:rPr>
                <w:rFonts w:hint="eastAsia"/>
                <w:szCs w:val="21"/>
              </w:rPr>
              <w:t>0</w:t>
            </w:r>
          </w:p>
        </w:tc>
        <w:tc>
          <w:tcPr>
            <w:tcW w:w="2930" w:type="dxa"/>
            <w:shd w:val="clear" w:color="auto" w:fill="FFFFFF"/>
          </w:tcPr>
          <w:p>
            <w:pPr>
              <w:widowControl w:val="0"/>
              <w:overflowPunct w:val="0"/>
              <w:autoSpaceDE w:val="0"/>
              <w:autoSpaceDN w:val="0"/>
              <w:adjustRightInd w:val="0"/>
              <w:spacing w:before="120" w:after="120"/>
              <w:textAlignment w:val="baseline"/>
              <w:rPr>
                <w:lang w:eastAsia="en-US"/>
              </w:rPr>
            </w:pPr>
            <w:r>
              <w:rPr>
                <w:szCs w:val="21"/>
              </w:rPr>
              <w:t>W=1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1" w:type="dxa"/>
            <w:shd w:val="clear" w:color="auto" w:fill="00B0F0"/>
          </w:tcPr>
          <w:p>
            <w:pPr>
              <w:widowControl w:val="0"/>
              <w:overflowPunct w:val="0"/>
              <w:autoSpaceDE w:val="0"/>
              <w:autoSpaceDN w:val="0"/>
              <w:adjustRightInd w:val="0"/>
              <w:spacing w:before="120" w:after="120"/>
              <w:textAlignment w:val="baseline"/>
              <w:rPr>
                <w:rFonts w:eastAsia="Times New Roman"/>
              </w:rPr>
            </w:pPr>
            <w:r>
              <w:rPr>
                <w:rFonts w:eastAsia="Times New Roman"/>
              </w:rPr>
              <w:t xml:space="preserve">Total for </w:t>
            </w:r>
            <w:r>
              <w:rPr>
                <w:szCs w:val="21"/>
              </w:rPr>
              <w:t>a TRS resource set</w:t>
            </w:r>
          </w:p>
        </w:tc>
        <w:tc>
          <w:tcPr>
            <w:tcW w:w="2748" w:type="dxa"/>
            <w:shd w:val="clear" w:color="auto" w:fill="00B0F0"/>
          </w:tcPr>
          <w:p>
            <w:pPr>
              <w:widowControl w:val="0"/>
              <w:overflowPunct w:val="0"/>
              <w:autoSpaceDE w:val="0"/>
              <w:autoSpaceDN w:val="0"/>
              <w:adjustRightInd w:val="0"/>
              <w:spacing w:before="120" w:after="120"/>
              <w:textAlignment w:val="baseline"/>
              <w:rPr>
                <w:szCs w:val="21"/>
              </w:rPr>
            </w:pPr>
            <w:r>
              <w:rPr>
                <w:szCs w:val="21"/>
              </w:rPr>
              <w:t>T=Y+U+V+W=</w:t>
            </w:r>
            <w:r>
              <w:t xml:space="preserve"> </w:t>
            </w:r>
            <w:r>
              <w:rPr>
                <w:rFonts w:hint="eastAsia"/>
                <w:szCs w:val="21"/>
              </w:rPr>
              <w:t>54</w:t>
            </w:r>
          </w:p>
        </w:tc>
        <w:tc>
          <w:tcPr>
            <w:tcW w:w="2930" w:type="dxa"/>
            <w:shd w:val="clear" w:color="auto" w:fill="00B0F0"/>
          </w:tcPr>
          <w:p>
            <w:pPr>
              <w:widowControl w:val="0"/>
              <w:overflowPunct w:val="0"/>
              <w:autoSpaceDE w:val="0"/>
              <w:autoSpaceDN w:val="0"/>
              <w:adjustRightInd w:val="0"/>
              <w:spacing w:before="120" w:after="120"/>
              <w:textAlignment w:val="baseline"/>
              <w:rPr>
                <w:lang w:eastAsia="en-US"/>
              </w:rPr>
            </w:pPr>
            <w:r>
              <w:rPr>
                <w:szCs w:val="21"/>
              </w:rPr>
              <w:t>T=Y+U+V+W=</w:t>
            </w:r>
            <w:r>
              <w:t xml:space="preserve"> </w:t>
            </w:r>
            <w:r>
              <w:rPr>
                <w:rFonts w:hint="eastAsia"/>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1" w:type="dxa"/>
            <w:shd w:val="clear" w:color="auto" w:fill="FFFFFF"/>
          </w:tcPr>
          <w:p>
            <w:pPr>
              <w:widowControl w:val="0"/>
              <w:overflowPunct w:val="0"/>
              <w:autoSpaceDE w:val="0"/>
              <w:autoSpaceDN w:val="0"/>
              <w:adjustRightInd w:val="0"/>
              <w:spacing w:before="120" w:after="120"/>
              <w:textAlignment w:val="baseline"/>
              <w:rPr>
                <w:rFonts w:eastAsia="Times New Roman"/>
              </w:rPr>
            </w:pPr>
            <w:r>
              <w:rPr>
                <w:rFonts w:eastAsia="Times New Roman"/>
              </w:rPr>
              <w:t>Total number of bits for X=</w:t>
            </w:r>
            <w:r>
              <w:rPr>
                <w:szCs w:val="21"/>
              </w:rPr>
              <w:t xml:space="preserve"> maxNrofNZP-CSI-RS-ResourceSets =64 TRS resource sets</w:t>
            </w:r>
          </w:p>
        </w:tc>
        <w:tc>
          <w:tcPr>
            <w:tcW w:w="2748" w:type="dxa"/>
            <w:shd w:val="clear" w:color="auto" w:fill="FFFFFF"/>
          </w:tcPr>
          <w:p>
            <w:pPr>
              <w:widowControl w:val="0"/>
              <w:overflowPunct w:val="0"/>
              <w:autoSpaceDE w:val="0"/>
              <w:autoSpaceDN w:val="0"/>
              <w:adjustRightInd w:val="0"/>
              <w:spacing w:before="120" w:after="120"/>
              <w:textAlignment w:val="baseline"/>
              <w:rPr>
                <w:szCs w:val="21"/>
              </w:rPr>
            </w:pPr>
            <w:r>
              <w:rPr>
                <w:szCs w:val="21"/>
              </w:rPr>
              <w:t>S=X*T=</w:t>
            </w:r>
            <w:r>
              <w:t xml:space="preserve"> </w:t>
            </w:r>
            <w:r>
              <w:rPr>
                <w:szCs w:val="21"/>
              </w:rPr>
              <w:t>3456</w:t>
            </w:r>
          </w:p>
        </w:tc>
        <w:tc>
          <w:tcPr>
            <w:tcW w:w="2930" w:type="dxa"/>
            <w:shd w:val="clear" w:color="auto" w:fill="FFFFFF"/>
          </w:tcPr>
          <w:p>
            <w:pPr>
              <w:widowControl w:val="0"/>
              <w:overflowPunct w:val="0"/>
              <w:autoSpaceDE w:val="0"/>
              <w:autoSpaceDN w:val="0"/>
              <w:adjustRightInd w:val="0"/>
              <w:spacing w:before="120" w:after="120"/>
              <w:textAlignment w:val="baseline"/>
              <w:rPr>
                <w:lang w:eastAsia="en-US"/>
              </w:rPr>
            </w:pPr>
            <w:r>
              <w:rPr>
                <w:szCs w:val="21"/>
              </w:rPr>
              <w:t>S=X*T=</w:t>
            </w:r>
            <w:r>
              <w:t xml:space="preserve"> </w:t>
            </w:r>
            <w:r>
              <w:rPr>
                <w:szCs w:val="21"/>
              </w:rPr>
              <w:t>3840</w:t>
            </w:r>
          </w:p>
        </w:tc>
      </w:tr>
    </w:tbl>
    <w:p>
      <w:pPr>
        <w:spacing w:before="120" w:after="120"/>
        <w:rPr>
          <w:bCs/>
          <w:szCs w:val="21"/>
        </w:rPr>
      </w:pPr>
    </w:p>
    <w:p>
      <w:pPr>
        <w:spacing w:before="120" w:after="120"/>
      </w:pPr>
    </w:p>
    <w:p>
      <w:pPr>
        <w:pStyle w:val="2"/>
        <w:spacing w:before="120" w:after="120"/>
        <w:rPr>
          <w:b/>
        </w:rPr>
      </w:pPr>
      <w:r>
        <w:rPr>
          <w:b/>
        </w:rPr>
        <w:t>Conclusion</w:t>
      </w:r>
    </w:p>
    <w:p>
      <w:pPr>
        <w:spacing w:before="120" w:after="120"/>
        <w:rPr>
          <w:szCs w:val="22"/>
        </w:rPr>
      </w:pPr>
      <w:r>
        <w:rPr>
          <w:rFonts w:hint="eastAsia"/>
        </w:rPr>
        <w:t xml:space="preserve">In this contribution, we discuss the power saving enhancement schemes for </w:t>
      </w:r>
      <w:r>
        <w:rPr>
          <w:rFonts w:hint="eastAsia"/>
          <w:lang w:val="en-US" w:eastAsia="zh-CN"/>
        </w:rPr>
        <w:t>TRS</w:t>
      </w:r>
      <w:bookmarkStart w:id="31" w:name="_GoBack"/>
      <w:bookmarkEnd w:id="31"/>
      <w:r>
        <w:rPr>
          <w:rFonts w:hint="eastAsia"/>
        </w:rPr>
        <w:t>. We have the following</w:t>
      </w:r>
      <w:r>
        <w:t xml:space="preserve"> </w:t>
      </w:r>
      <w:r>
        <w:rPr>
          <w:rFonts w:hint="eastAsia"/>
        </w:rPr>
        <w:t>observations and proposals.</w:t>
      </w:r>
    </w:p>
    <w:p>
      <w:pPr>
        <w:pStyle w:val="11"/>
        <w:tabs>
          <w:tab w:val="left" w:pos="1540"/>
        </w:tabs>
        <w:spacing w:before="120" w:after="120"/>
        <w:ind w:right="420"/>
        <w:jc w:val="both"/>
        <w:rPr>
          <w:rFonts w:asciiTheme="minorHAnsi" w:hAnsiTheme="minorHAnsi" w:cstheme="minorBidi"/>
          <w:b w:val="0"/>
          <w:bCs w:val="0"/>
          <w:i w:val="0"/>
          <w:iCs w:val="0"/>
          <w:kern w:val="0"/>
          <w:sz w:val="22"/>
          <w:szCs w:val="22"/>
        </w:rPr>
      </w:pPr>
      <w:r>
        <w:rPr>
          <w:rFonts w:eastAsia="宋体"/>
          <w:i w:val="0"/>
          <w:iCs w:val="0"/>
          <w:sz w:val="21"/>
          <w:szCs w:val="22"/>
        </w:rPr>
        <w:fldChar w:fldCharType="begin"/>
      </w:r>
      <w:r>
        <w:rPr>
          <w:i w:val="0"/>
          <w:iCs w:val="0"/>
          <w:sz w:val="21"/>
          <w:szCs w:val="22"/>
        </w:rPr>
        <w:instrText xml:space="preserve">TOC \n  \t "YJ-Observation,1,sub-observation,2,3rd level observation,3" \h</w:instrText>
      </w:r>
      <w:r>
        <w:rPr>
          <w:rFonts w:eastAsia="宋体"/>
          <w:i w:val="0"/>
          <w:iCs w:val="0"/>
          <w:sz w:val="21"/>
          <w:szCs w:val="22"/>
        </w:rPr>
        <w:fldChar w:fldCharType="separate"/>
      </w:r>
      <w:r>
        <w:fldChar w:fldCharType="begin"/>
      </w:r>
      <w:r>
        <w:instrText xml:space="preserve"> HYPERLINK \l "_Toc87032563" </w:instrText>
      </w:r>
      <w:r>
        <w:fldChar w:fldCharType="separate"/>
      </w:r>
      <w:r>
        <w:rPr>
          <w:rStyle w:val="23"/>
          <w:rFonts w:eastAsia="宋体"/>
          <w:i w:val="0"/>
        </w:rPr>
        <w:t>Observation 1:</w:t>
      </w:r>
      <w:r>
        <w:rPr>
          <w:rFonts w:asciiTheme="minorHAnsi" w:hAnsiTheme="minorHAnsi" w:cstheme="minorBidi"/>
          <w:b w:val="0"/>
          <w:bCs w:val="0"/>
          <w:i w:val="0"/>
          <w:iCs w:val="0"/>
          <w:kern w:val="0"/>
          <w:sz w:val="22"/>
          <w:szCs w:val="22"/>
        </w:rPr>
        <w:tab/>
      </w:r>
      <w:r>
        <w:rPr>
          <w:rStyle w:val="23"/>
          <w:i w:val="0"/>
        </w:rPr>
        <w:t xml:space="preserve">The configuration of scrambling ID is needed to </w:t>
      </w:r>
      <w:r>
        <w:rPr>
          <w:rStyle w:val="23"/>
          <w:rFonts w:eastAsia="Microsoft YaHei UI"/>
          <w:i w:val="0"/>
        </w:rPr>
        <w:t>mitigate interference.</w:t>
      </w:r>
      <w:r>
        <w:rPr>
          <w:rStyle w:val="23"/>
          <w:rFonts w:eastAsia="Microsoft YaHei UI"/>
          <w:i w:val="0"/>
        </w:rPr>
        <w:fldChar w:fldCharType="end"/>
      </w:r>
    </w:p>
    <w:p>
      <w:pPr>
        <w:pStyle w:val="11"/>
        <w:tabs>
          <w:tab w:val="left" w:pos="1540"/>
        </w:tabs>
        <w:spacing w:before="120" w:after="120"/>
        <w:ind w:right="420"/>
        <w:jc w:val="both"/>
        <w:rPr>
          <w:rStyle w:val="23"/>
          <w:rFonts w:eastAsia="宋体"/>
        </w:rPr>
      </w:pPr>
      <w:r>
        <w:fldChar w:fldCharType="begin"/>
      </w:r>
      <w:r>
        <w:instrText xml:space="preserve"> HYPERLINK \l "_Toc87032567" </w:instrText>
      </w:r>
      <w:r>
        <w:fldChar w:fldCharType="separate"/>
      </w:r>
      <w:r>
        <w:rPr>
          <w:rStyle w:val="23"/>
          <w:rFonts w:eastAsia="宋体"/>
          <w:i w:val="0"/>
        </w:rPr>
        <w:t>Observation 2:</w:t>
      </w:r>
      <w:r>
        <w:rPr>
          <w:rStyle w:val="23"/>
          <w:rFonts w:eastAsia="宋体"/>
          <w:i w:val="0"/>
        </w:rPr>
        <w:fldChar w:fldCharType="end"/>
      </w:r>
      <w:r>
        <w:fldChar w:fldCharType="begin"/>
      </w:r>
      <w:r>
        <w:instrText xml:space="preserve"> HYPERLINK \l "_Toc87032564" </w:instrText>
      </w:r>
      <w:r>
        <w:fldChar w:fldCharType="separate"/>
      </w:r>
      <w:r>
        <w:rPr>
          <w:rStyle w:val="23"/>
          <w:rFonts w:eastAsia="宋体"/>
        </w:rPr>
        <w:tab/>
      </w:r>
      <w:r>
        <w:rPr>
          <w:rStyle w:val="23"/>
          <w:rFonts w:eastAsia="宋体"/>
          <w:i w:val="0"/>
        </w:rPr>
        <w:t>For FR2, there are at most 49 TRS resource sets with 49 different beams can be configured by one SIB message (less than 64 beams).</w:t>
      </w:r>
      <w:r>
        <w:rPr>
          <w:rStyle w:val="23"/>
          <w:rFonts w:eastAsia="宋体"/>
          <w:i w:val="0"/>
        </w:rPr>
        <w:fldChar w:fldCharType="end"/>
      </w:r>
    </w:p>
    <w:p>
      <w:pPr>
        <w:spacing w:before="120" w:after="120"/>
      </w:pPr>
      <w:r>
        <w:rPr>
          <w:szCs w:val="22"/>
        </w:rPr>
        <w:fldChar w:fldCharType="end"/>
      </w:r>
    </w:p>
    <w:p>
      <w:pPr>
        <w:pStyle w:val="11"/>
        <w:tabs>
          <w:tab w:val="left" w:pos="1282"/>
        </w:tabs>
        <w:spacing w:before="120" w:after="120"/>
        <w:ind w:right="420"/>
        <w:jc w:val="both"/>
        <w:rPr>
          <w:rFonts w:asciiTheme="minorHAnsi" w:hAnsiTheme="minorHAnsi" w:cstheme="minorBidi"/>
          <w:b w:val="0"/>
          <w:bCs w:val="0"/>
          <w:i w:val="0"/>
          <w:iCs w:val="0"/>
          <w:kern w:val="0"/>
          <w:sz w:val="22"/>
          <w:szCs w:val="22"/>
        </w:rPr>
      </w:pPr>
      <w:r>
        <w:rPr>
          <w:i w:val="0"/>
          <w:iCs w:val="0"/>
        </w:rPr>
        <w:fldChar w:fldCharType="begin"/>
      </w:r>
      <w:r>
        <w:rPr>
          <w:i w:val="0"/>
          <w:iCs w:val="0"/>
        </w:rPr>
        <w:instrText xml:space="preserve">TOC \n  \t "YJ-Proposal,1,sub-proposal,2,3rd level proposal,3" \h</w:instrText>
      </w:r>
      <w:r>
        <w:rPr>
          <w:i w:val="0"/>
          <w:iCs w:val="0"/>
        </w:rPr>
        <w:fldChar w:fldCharType="separate"/>
      </w:r>
      <w:r>
        <w:fldChar w:fldCharType="begin"/>
      </w:r>
      <w:r>
        <w:instrText xml:space="preserve"> HYPERLINK \l "_Toc87032458" </w:instrText>
      </w:r>
      <w:r>
        <w:fldChar w:fldCharType="separate"/>
      </w:r>
      <w:r>
        <w:rPr>
          <w:rStyle w:val="23"/>
          <w:rFonts w:eastAsia="宋体"/>
          <w:i w:val="0"/>
        </w:rPr>
        <w:t>Proposal 1:</w:t>
      </w:r>
      <w:r>
        <w:rPr>
          <w:rFonts w:asciiTheme="minorHAnsi" w:hAnsiTheme="minorHAnsi" w:cstheme="minorBidi"/>
          <w:b w:val="0"/>
          <w:bCs w:val="0"/>
          <w:i w:val="0"/>
          <w:iCs w:val="0"/>
          <w:kern w:val="0"/>
          <w:sz w:val="22"/>
          <w:szCs w:val="22"/>
        </w:rPr>
        <w:tab/>
      </w:r>
      <w:r>
        <w:rPr>
          <w:rStyle w:val="23"/>
          <w:i w:val="0"/>
        </w:rPr>
        <w:t>The TRS/CSI-RS sets with different QCL references should be further grouped to reduce the signaling overhead of L1 availability indication.</w:t>
      </w:r>
      <w:r>
        <w:rPr>
          <w:rStyle w:val="23"/>
          <w:i w:val="0"/>
        </w:rPr>
        <w:fldChar w:fldCharType="end"/>
      </w:r>
    </w:p>
    <w:p>
      <w:pPr>
        <w:pStyle w:val="11"/>
        <w:tabs>
          <w:tab w:val="left" w:pos="1282"/>
        </w:tabs>
        <w:spacing w:before="120" w:after="120"/>
        <w:ind w:right="420"/>
        <w:jc w:val="both"/>
        <w:rPr>
          <w:rFonts w:asciiTheme="minorHAnsi" w:hAnsiTheme="minorHAnsi" w:cstheme="minorBidi"/>
          <w:b w:val="0"/>
          <w:bCs w:val="0"/>
          <w:i w:val="0"/>
          <w:iCs w:val="0"/>
          <w:kern w:val="0"/>
          <w:sz w:val="22"/>
          <w:szCs w:val="22"/>
        </w:rPr>
      </w:pPr>
      <w:r>
        <w:fldChar w:fldCharType="begin"/>
      </w:r>
      <w:r>
        <w:instrText xml:space="preserve"> HYPERLINK \l "_Toc87032459" </w:instrText>
      </w:r>
      <w:r>
        <w:fldChar w:fldCharType="separate"/>
      </w:r>
      <w:r>
        <w:rPr>
          <w:rStyle w:val="23"/>
          <w:rFonts w:eastAsia="宋体"/>
          <w:i w:val="0"/>
        </w:rPr>
        <w:t>Proposal 2:</w:t>
      </w:r>
      <w:r>
        <w:rPr>
          <w:rFonts w:asciiTheme="minorHAnsi" w:hAnsiTheme="minorHAnsi" w:cstheme="minorBidi"/>
          <w:b w:val="0"/>
          <w:bCs w:val="0"/>
          <w:i w:val="0"/>
          <w:iCs w:val="0"/>
          <w:kern w:val="0"/>
          <w:sz w:val="22"/>
          <w:szCs w:val="22"/>
        </w:rPr>
        <w:tab/>
      </w:r>
      <w:r>
        <w:rPr>
          <w:rStyle w:val="23"/>
          <w:i w:val="0"/>
        </w:rPr>
        <w:t>Each bit in the bitmap is associated with one or more TRS resource sets.</w:t>
      </w:r>
      <w:r>
        <w:rPr>
          <w:rStyle w:val="23"/>
          <w:i w:val="0"/>
        </w:rPr>
        <w:fldChar w:fldCharType="end"/>
      </w:r>
    </w:p>
    <w:p>
      <w:pPr>
        <w:pStyle w:val="11"/>
        <w:tabs>
          <w:tab w:val="left" w:pos="1282"/>
        </w:tabs>
        <w:spacing w:before="120" w:after="120"/>
        <w:ind w:right="420"/>
        <w:jc w:val="both"/>
        <w:rPr>
          <w:rFonts w:asciiTheme="minorHAnsi" w:hAnsiTheme="minorHAnsi" w:cstheme="minorBidi"/>
          <w:b w:val="0"/>
          <w:bCs w:val="0"/>
          <w:i w:val="0"/>
          <w:iCs w:val="0"/>
          <w:kern w:val="0"/>
          <w:sz w:val="22"/>
          <w:szCs w:val="22"/>
        </w:rPr>
      </w:pPr>
      <w:r>
        <w:fldChar w:fldCharType="begin"/>
      </w:r>
      <w:r>
        <w:instrText xml:space="preserve"> HYPERLINK \l "_Toc87032460" </w:instrText>
      </w:r>
      <w:r>
        <w:fldChar w:fldCharType="separate"/>
      </w:r>
      <w:r>
        <w:rPr>
          <w:rStyle w:val="23"/>
          <w:rFonts w:eastAsia="宋体"/>
          <w:i w:val="0"/>
        </w:rPr>
        <w:t>Proposal 3:</w:t>
      </w:r>
      <w:r>
        <w:rPr>
          <w:rFonts w:asciiTheme="minorHAnsi" w:hAnsiTheme="minorHAnsi" w:cstheme="minorBidi"/>
          <w:b w:val="0"/>
          <w:bCs w:val="0"/>
          <w:i w:val="0"/>
          <w:iCs w:val="0"/>
          <w:kern w:val="0"/>
          <w:sz w:val="22"/>
          <w:szCs w:val="22"/>
        </w:rPr>
        <w:tab/>
      </w:r>
      <w:r>
        <w:rPr>
          <w:rStyle w:val="23"/>
          <w:i w:val="0"/>
        </w:rPr>
        <w:t>The reserved bits in paging DCI are used for TRS availability indication. The bitmap size can be up to 6 bits.</w:t>
      </w:r>
      <w:r>
        <w:rPr>
          <w:rStyle w:val="23"/>
          <w:i w:val="0"/>
        </w:rPr>
        <w:fldChar w:fldCharType="end"/>
      </w:r>
    </w:p>
    <w:p>
      <w:pPr>
        <w:pStyle w:val="11"/>
        <w:tabs>
          <w:tab w:val="left" w:pos="1282"/>
        </w:tabs>
        <w:spacing w:before="120" w:after="120"/>
        <w:ind w:right="420"/>
        <w:jc w:val="both"/>
        <w:rPr>
          <w:rFonts w:asciiTheme="minorHAnsi" w:hAnsiTheme="minorHAnsi" w:cstheme="minorBidi"/>
          <w:b w:val="0"/>
          <w:bCs w:val="0"/>
          <w:i w:val="0"/>
          <w:iCs w:val="0"/>
          <w:kern w:val="0"/>
          <w:sz w:val="22"/>
          <w:szCs w:val="22"/>
        </w:rPr>
      </w:pPr>
      <w:r>
        <w:fldChar w:fldCharType="begin"/>
      </w:r>
      <w:r>
        <w:instrText xml:space="preserve"> HYPERLINK \l "_Toc87032461" </w:instrText>
      </w:r>
      <w:r>
        <w:fldChar w:fldCharType="separate"/>
      </w:r>
      <w:r>
        <w:rPr>
          <w:rStyle w:val="23"/>
          <w:rFonts w:eastAsia="宋体"/>
          <w:i w:val="0"/>
        </w:rPr>
        <w:t>Proposal 4:</w:t>
      </w:r>
      <w:r>
        <w:rPr>
          <w:rFonts w:asciiTheme="minorHAnsi" w:hAnsiTheme="minorHAnsi" w:cstheme="minorBidi"/>
          <w:b w:val="0"/>
          <w:bCs w:val="0"/>
          <w:i w:val="0"/>
          <w:iCs w:val="0"/>
          <w:kern w:val="0"/>
          <w:sz w:val="22"/>
          <w:szCs w:val="22"/>
        </w:rPr>
        <w:tab/>
      </w:r>
      <w:r>
        <w:rPr>
          <w:rStyle w:val="23"/>
          <w:i w:val="0"/>
        </w:rPr>
        <w:t>The TRS availability indication mechanism, bit size, and indication content for paging PDCCH and PEI should be the same.</w:t>
      </w:r>
      <w:r>
        <w:rPr>
          <w:rStyle w:val="23"/>
          <w:i w:val="0"/>
        </w:rPr>
        <w:fldChar w:fldCharType="end"/>
      </w:r>
    </w:p>
    <w:p>
      <w:pPr>
        <w:pStyle w:val="11"/>
        <w:tabs>
          <w:tab w:val="left" w:pos="1282"/>
        </w:tabs>
        <w:spacing w:before="120" w:after="120"/>
        <w:ind w:right="420"/>
        <w:jc w:val="both"/>
        <w:rPr>
          <w:rFonts w:asciiTheme="minorHAnsi" w:hAnsiTheme="minorHAnsi" w:cstheme="minorBidi"/>
          <w:b w:val="0"/>
          <w:bCs w:val="0"/>
          <w:i w:val="0"/>
          <w:iCs w:val="0"/>
          <w:kern w:val="0"/>
          <w:sz w:val="22"/>
          <w:szCs w:val="22"/>
        </w:rPr>
      </w:pPr>
      <w:r>
        <w:fldChar w:fldCharType="begin"/>
      </w:r>
      <w:r>
        <w:instrText xml:space="preserve"> HYPERLINK \l "_Toc87032462" </w:instrText>
      </w:r>
      <w:r>
        <w:fldChar w:fldCharType="separate"/>
      </w:r>
      <w:r>
        <w:rPr>
          <w:rStyle w:val="23"/>
          <w:rFonts w:eastAsia="宋体"/>
          <w:i w:val="0"/>
          <w:lang w:val="en-GB"/>
        </w:rPr>
        <w:t>Proposal 5:</w:t>
      </w:r>
      <w:r>
        <w:rPr>
          <w:rFonts w:asciiTheme="minorHAnsi" w:hAnsiTheme="minorHAnsi" w:cstheme="minorBidi"/>
          <w:b w:val="0"/>
          <w:bCs w:val="0"/>
          <w:i w:val="0"/>
          <w:iCs w:val="0"/>
          <w:kern w:val="0"/>
          <w:sz w:val="22"/>
          <w:szCs w:val="22"/>
        </w:rPr>
        <w:tab/>
      </w:r>
      <w:r>
        <w:rPr>
          <w:rStyle w:val="23"/>
          <w:i w:val="0"/>
          <w:lang w:val="en-GB"/>
        </w:rPr>
        <w:t xml:space="preserve">All the TRS resources </w:t>
      </w:r>
      <w:r>
        <w:rPr>
          <w:rStyle w:val="23"/>
          <w:i w:val="0"/>
        </w:rPr>
        <w:t>should</w:t>
      </w:r>
      <w:r>
        <w:rPr>
          <w:rStyle w:val="23"/>
          <w:i w:val="0"/>
          <w:lang w:val="en-GB"/>
        </w:rPr>
        <w:t xml:space="preserve"> be indicated </w:t>
      </w:r>
      <w:r>
        <w:rPr>
          <w:rStyle w:val="23"/>
          <w:i w:val="0"/>
        </w:rPr>
        <w:t xml:space="preserve">with L1 TRS availability information </w:t>
      </w:r>
      <w:r>
        <w:rPr>
          <w:rStyle w:val="23"/>
          <w:i w:val="0"/>
          <w:lang w:val="en-GB"/>
        </w:rPr>
        <w:t>regardless of the number of beams.</w:t>
      </w:r>
      <w:r>
        <w:rPr>
          <w:rStyle w:val="23"/>
          <w:i w:val="0"/>
          <w:lang w:val="en-GB"/>
        </w:rPr>
        <w:fldChar w:fldCharType="end"/>
      </w:r>
    </w:p>
    <w:p>
      <w:pPr>
        <w:pStyle w:val="11"/>
        <w:tabs>
          <w:tab w:val="left" w:pos="1282"/>
        </w:tabs>
        <w:spacing w:before="120" w:after="120"/>
        <w:ind w:right="420"/>
        <w:jc w:val="both"/>
        <w:rPr>
          <w:rFonts w:asciiTheme="minorHAnsi" w:hAnsiTheme="minorHAnsi" w:cstheme="minorBidi"/>
          <w:b w:val="0"/>
          <w:bCs w:val="0"/>
          <w:i w:val="0"/>
          <w:iCs w:val="0"/>
          <w:kern w:val="0"/>
          <w:sz w:val="22"/>
          <w:szCs w:val="22"/>
        </w:rPr>
      </w:pPr>
      <w:r>
        <w:fldChar w:fldCharType="begin"/>
      </w:r>
      <w:r>
        <w:instrText xml:space="preserve"> HYPERLINK \l "_Toc87032463" </w:instrText>
      </w:r>
      <w:r>
        <w:fldChar w:fldCharType="separate"/>
      </w:r>
      <w:r>
        <w:rPr>
          <w:rStyle w:val="23"/>
          <w:rFonts w:eastAsia="宋体"/>
          <w:i w:val="0"/>
        </w:rPr>
        <w:t>Proposal 6:</w:t>
      </w:r>
      <w:r>
        <w:rPr>
          <w:rFonts w:asciiTheme="minorHAnsi" w:hAnsiTheme="minorHAnsi" w:cstheme="minorBidi"/>
          <w:b w:val="0"/>
          <w:bCs w:val="0"/>
          <w:i w:val="0"/>
          <w:iCs w:val="0"/>
          <w:kern w:val="0"/>
          <w:sz w:val="22"/>
          <w:szCs w:val="22"/>
        </w:rPr>
        <w:tab/>
      </w:r>
      <w:r>
        <w:rPr>
          <w:rStyle w:val="23"/>
          <w:i w:val="0"/>
        </w:rPr>
        <w:t>Confirm the following working assumption</w:t>
      </w:r>
      <w:r>
        <w:rPr>
          <w:rStyle w:val="23"/>
          <w:i w:val="0"/>
        </w:rPr>
        <w:fldChar w:fldCharType="end"/>
      </w:r>
    </w:p>
    <w:p>
      <w:pPr>
        <w:pStyle w:val="11"/>
        <w:spacing w:before="120" w:after="120"/>
        <w:ind w:right="420"/>
        <w:jc w:val="both"/>
        <w:rPr>
          <w:rFonts w:asciiTheme="minorHAnsi" w:hAnsiTheme="minorHAnsi" w:cstheme="minorBidi"/>
          <w:b w:val="0"/>
          <w:bCs w:val="0"/>
          <w:i w:val="0"/>
          <w:iCs w:val="0"/>
          <w:kern w:val="0"/>
          <w:sz w:val="22"/>
          <w:szCs w:val="22"/>
        </w:rPr>
      </w:pPr>
      <w:r>
        <w:rPr>
          <w:rStyle w:val="23"/>
          <w:i w:val="0"/>
        </w:rPr>
        <w:t xml:space="preserve">      </w:t>
      </w:r>
      <w:r>
        <w:fldChar w:fldCharType="begin"/>
      </w:r>
      <w:r>
        <w:instrText xml:space="preserve"> HYPERLINK \l "_Toc87032464" </w:instrText>
      </w:r>
      <w:r>
        <w:fldChar w:fldCharType="separate"/>
      </w:r>
      <w:r>
        <w:rPr>
          <w:rStyle w:val="23"/>
          <w:i w:val="0"/>
        </w:rPr>
        <w:t>If TRS resource is configured in SIB, L1 based availability indication is always enabled based on the configuration.</w:t>
      </w:r>
      <w:r>
        <w:rPr>
          <w:rStyle w:val="23"/>
          <w:i w:val="0"/>
        </w:rPr>
        <w:fldChar w:fldCharType="end"/>
      </w:r>
    </w:p>
    <w:p>
      <w:pPr>
        <w:pStyle w:val="11"/>
        <w:tabs>
          <w:tab w:val="left" w:pos="1282"/>
        </w:tabs>
        <w:spacing w:before="120" w:after="120"/>
        <w:ind w:right="420"/>
        <w:jc w:val="both"/>
        <w:rPr>
          <w:rFonts w:asciiTheme="minorHAnsi" w:hAnsiTheme="minorHAnsi" w:cstheme="minorBidi"/>
          <w:b w:val="0"/>
          <w:bCs w:val="0"/>
          <w:i w:val="0"/>
          <w:iCs w:val="0"/>
          <w:kern w:val="0"/>
          <w:sz w:val="22"/>
          <w:szCs w:val="22"/>
        </w:rPr>
      </w:pPr>
      <w:r>
        <w:fldChar w:fldCharType="begin"/>
      </w:r>
      <w:r>
        <w:instrText xml:space="preserve"> HYPERLINK \l "_Toc87032465" </w:instrText>
      </w:r>
      <w:r>
        <w:fldChar w:fldCharType="separate"/>
      </w:r>
      <w:r>
        <w:rPr>
          <w:rStyle w:val="23"/>
          <w:rFonts w:eastAsia="宋体"/>
          <w:i w:val="0"/>
        </w:rPr>
        <w:t>Proposal 7:</w:t>
      </w:r>
      <w:r>
        <w:rPr>
          <w:rFonts w:asciiTheme="minorHAnsi" w:hAnsiTheme="minorHAnsi" w:cstheme="minorBidi"/>
          <w:b w:val="0"/>
          <w:bCs w:val="0"/>
          <w:i w:val="0"/>
          <w:iCs w:val="0"/>
          <w:kern w:val="0"/>
          <w:sz w:val="22"/>
          <w:szCs w:val="22"/>
        </w:rPr>
        <w:tab/>
      </w:r>
      <w:r>
        <w:rPr>
          <w:rStyle w:val="23"/>
          <w:i w:val="0"/>
        </w:rPr>
        <w:t>The length and start of the TRS availability indication can be implicitly derived and there is no need to introduce dedicated parameters.</w:t>
      </w:r>
      <w:r>
        <w:rPr>
          <w:rStyle w:val="23"/>
          <w:i w:val="0"/>
        </w:rPr>
        <w:fldChar w:fldCharType="end"/>
      </w:r>
    </w:p>
    <w:p>
      <w:pPr>
        <w:pStyle w:val="11"/>
        <w:tabs>
          <w:tab w:val="left" w:pos="1282"/>
        </w:tabs>
        <w:spacing w:before="120" w:after="120"/>
        <w:ind w:right="420"/>
        <w:jc w:val="both"/>
        <w:rPr>
          <w:rFonts w:asciiTheme="minorHAnsi" w:hAnsiTheme="minorHAnsi" w:cstheme="minorBidi"/>
          <w:b w:val="0"/>
          <w:bCs w:val="0"/>
          <w:i w:val="0"/>
          <w:iCs w:val="0"/>
          <w:kern w:val="0"/>
          <w:sz w:val="22"/>
          <w:szCs w:val="22"/>
        </w:rPr>
      </w:pPr>
      <w:r>
        <w:fldChar w:fldCharType="begin"/>
      </w:r>
      <w:r>
        <w:instrText xml:space="preserve"> HYPERLINK \l "_Toc87032466" </w:instrText>
      </w:r>
      <w:r>
        <w:fldChar w:fldCharType="separate"/>
      </w:r>
      <w:r>
        <w:rPr>
          <w:rStyle w:val="23"/>
          <w:rFonts w:eastAsia="宋体"/>
          <w:i w:val="0"/>
        </w:rPr>
        <w:t>Proposal 8:</w:t>
      </w:r>
      <w:r>
        <w:rPr>
          <w:rFonts w:asciiTheme="minorHAnsi" w:hAnsiTheme="minorHAnsi" w:cstheme="minorBidi"/>
          <w:b w:val="0"/>
          <w:bCs w:val="0"/>
          <w:i w:val="0"/>
          <w:iCs w:val="0"/>
          <w:kern w:val="0"/>
          <w:sz w:val="22"/>
          <w:szCs w:val="22"/>
        </w:rPr>
        <w:tab/>
      </w:r>
      <w:r>
        <w:rPr>
          <w:rStyle w:val="23"/>
          <w:i w:val="0"/>
        </w:rPr>
        <w:t>Indication of unavailability for TRS resource is needed to save network energy and resource overhead.</w:t>
      </w:r>
      <w:r>
        <w:rPr>
          <w:rStyle w:val="23"/>
          <w:i w:val="0"/>
        </w:rPr>
        <w:fldChar w:fldCharType="end"/>
      </w:r>
    </w:p>
    <w:p>
      <w:pPr>
        <w:pStyle w:val="11"/>
        <w:tabs>
          <w:tab w:val="left" w:pos="1282"/>
        </w:tabs>
        <w:spacing w:before="120" w:after="120"/>
        <w:ind w:right="420"/>
        <w:jc w:val="both"/>
        <w:rPr>
          <w:rFonts w:asciiTheme="minorHAnsi" w:hAnsiTheme="minorHAnsi" w:cstheme="minorBidi"/>
          <w:b w:val="0"/>
          <w:bCs w:val="0"/>
          <w:i w:val="0"/>
          <w:iCs w:val="0"/>
          <w:kern w:val="0"/>
          <w:sz w:val="22"/>
          <w:szCs w:val="22"/>
        </w:rPr>
      </w:pPr>
      <w:r>
        <w:fldChar w:fldCharType="begin"/>
      </w:r>
      <w:r>
        <w:instrText xml:space="preserve"> HYPERLINK \l "_Toc87032468" </w:instrText>
      </w:r>
      <w:r>
        <w:fldChar w:fldCharType="separate"/>
      </w:r>
      <w:r>
        <w:rPr>
          <w:rStyle w:val="23"/>
          <w:rFonts w:eastAsia="宋体"/>
          <w:i w:val="0"/>
        </w:rPr>
        <w:t>Proposal 9:</w:t>
      </w:r>
      <w:r>
        <w:rPr>
          <w:rFonts w:asciiTheme="minorHAnsi" w:hAnsiTheme="minorHAnsi" w:cstheme="minorBidi"/>
          <w:b w:val="0"/>
          <w:bCs w:val="0"/>
          <w:i w:val="0"/>
          <w:iCs w:val="0"/>
          <w:kern w:val="0"/>
          <w:sz w:val="22"/>
          <w:szCs w:val="22"/>
        </w:rPr>
        <w:tab/>
      </w:r>
      <w:r>
        <w:rPr>
          <w:rStyle w:val="23"/>
          <w:rFonts w:eastAsia="Microsoft YaHei UI"/>
          <w:i w:val="0"/>
        </w:rPr>
        <w:t xml:space="preserve">When the time duration is not configured, </w:t>
      </w:r>
      <w:r>
        <w:rPr>
          <w:rStyle w:val="23"/>
          <w:i w:val="0"/>
        </w:rPr>
        <w:t>the availability indication is valid when UE receives another availability indication.</w:t>
      </w:r>
      <w:r>
        <w:rPr>
          <w:rStyle w:val="23"/>
          <w:i w:val="0"/>
        </w:rPr>
        <w:fldChar w:fldCharType="end"/>
      </w:r>
    </w:p>
    <w:p>
      <w:pPr>
        <w:pStyle w:val="11"/>
        <w:tabs>
          <w:tab w:val="left" w:pos="1282"/>
        </w:tabs>
        <w:spacing w:before="120" w:after="120"/>
        <w:ind w:right="420"/>
        <w:jc w:val="both"/>
        <w:rPr>
          <w:rFonts w:asciiTheme="minorHAnsi" w:hAnsiTheme="minorHAnsi" w:cstheme="minorBidi"/>
          <w:b w:val="0"/>
          <w:bCs w:val="0"/>
          <w:i w:val="0"/>
          <w:iCs w:val="0"/>
          <w:kern w:val="0"/>
          <w:sz w:val="22"/>
          <w:szCs w:val="22"/>
        </w:rPr>
      </w:pPr>
      <w:r>
        <w:fldChar w:fldCharType="begin"/>
      </w:r>
      <w:r>
        <w:instrText xml:space="preserve"> HYPERLINK \l "_Toc87032469" </w:instrText>
      </w:r>
      <w:r>
        <w:fldChar w:fldCharType="separate"/>
      </w:r>
      <w:r>
        <w:rPr>
          <w:rStyle w:val="23"/>
          <w:rFonts w:eastAsia="宋体"/>
          <w:i w:val="0"/>
        </w:rPr>
        <w:t>Proposal 10:</w:t>
      </w:r>
      <w:r>
        <w:rPr>
          <w:rFonts w:asciiTheme="minorHAnsi" w:hAnsiTheme="minorHAnsi" w:cstheme="minorBidi"/>
          <w:b w:val="0"/>
          <w:bCs w:val="0"/>
          <w:i w:val="0"/>
          <w:iCs w:val="0"/>
          <w:kern w:val="0"/>
          <w:sz w:val="22"/>
          <w:szCs w:val="22"/>
        </w:rPr>
        <w:tab/>
      </w:r>
      <w:r>
        <w:rPr>
          <w:rStyle w:val="23"/>
          <w:rFonts w:eastAsia="Microsoft YaHei UI"/>
          <w:i w:val="0"/>
        </w:rPr>
        <w:t>The modification period can be used to determine the valid time for TRS resource, where the time duration is multiple paging cycles, and the reference time for the start of the validity duration is based on the SFN configured by higher layer.</w:t>
      </w:r>
      <w:r>
        <w:rPr>
          <w:rStyle w:val="23"/>
          <w:rFonts w:eastAsia="Microsoft YaHei UI"/>
          <w:i w:val="0"/>
        </w:rPr>
        <w:fldChar w:fldCharType="end"/>
      </w:r>
    </w:p>
    <w:p>
      <w:pPr>
        <w:pStyle w:val="11"/>
        <w:tabs>
          <w:tab w:val="left" w:pos="1282"/>
        </w:tabs>
        <w:spacing w:before="120" w:after="120"/>
        <w:ind w:right="420"/>
        <w:jc w:val="both"/>
        <w:rPr>
          <w:rFonts w:asciiTheme="minorHAnsi" w:hAnsiTheme="minorHAnsi" w:cstheme="minorBidi"/>
          <w:b w:val="0"/>
          <w:bCs w:val="0"/>
          <w:i w:val="0"/>
          <w:iCs w:val="0"/>
          <w:kern w:val="0"/>
          <w:sz w:val="22"/>
          <w:szCs w:val="22"/>
        </w:rPr>
      </w:pPr>
      <w:r>
        <w:fldChar w:fldCharType="begin"/>
      </w:r>
      <w:r>
        <w:instrText xml:space="preserve"> HYPERLINK \l "_Toc87032470" </w:instrText>
      </w:r>
      <w:r>
        <w:fldChar w:fldCharType="separate"/>
      </w:r>
      <w:r>
        <w:rPr>
          <w:rStyle w:val="23"/>
          <w:rFonts w:eastAsia="宋体"/>
          <w:i w:val="0"/>
        </w:rPr>
        <w:t>Proposal 11:</w:t>
      </w:r>
      <w:r>
        <w:rPr>
          <w:rFonts w:asciiTheme="minorHAnsi" w:hAnsiTheme="minorHAnsi" w:cstheme="minorBidi"/>
          <w:b w:val="0"/>
          <w:bCs w:val="0"/>
          <w:i w:val="0"/>
          <w:iCs w:val="0"/>
          <w:kern w:val="0"/>
          <w:sz w:val="22"/>
          <w:szCs w:val="22"/>
        </w:rPr>
        <w:tab/>
      </w:r>
      <w:r>
        <w:rPr>
          <w:rStyle w:val="23"/>
          <w:i w:val="0"/>
        </w:rPr>
        <w:t>The scramblingID can be configured as a common parameter per resource set.</w:t>
      </w:r>
      <w:r>
        <w:rPr>
          <w:rStyle w:val="23"/>
          <w:i w:val="0"/>
        </w:rPr>
        <w:fldChar w:fldCharType="end"/>
      </w:r>
    </w:p>
    <w:p>
      <w:pPr>
        <w:pStyle w:val="11"/>
        <w:tabs>
          <w:tab w:val="left" w:pos="1282"/>
        </w:tabs>
        <w:spacing w:before="120" w:after="120"/>
        <w:ind w:right="420"/>
        <w:jc w:val="both"/>
        <w:rPr>
          <w:rFonts w:asciiTheme="minorHAnsi" w:hAnsiTheme="minorHAnsi" w:cstheme="minorBidi"/>
          <w:b w:val="0"/>
          <w:bCs w:val="0"/>
          <w:i w:val="0"/>
          <w:iCs w:val="0"/>
          <w:kern w:val="0"/>
          <w:sz w:val="22"/>
          <w:szCs w:val="22"/>
        </w:rPr>
      </w:pPr>
      <w:r>
        <w:fldChar w:fldCharType="begin"/>
      </w:r>
      <w:r>
        <w:instrText xml:space="preserve"> HYPERLINK \l "_Toc87032471" </w:instrText>
      </w:r>
      <w:r>
        <w:fldChar w:fldCharType="separate"/>
      </w:r>
      <w:r>
        <w:rPr>
          <w:rStyle w:val="23"/>
          <w:rFonts w:eastAsia="宋体"/>
          <w:i w:val="0"/>
        </w:rPr>
        <w:t>Proposal 12:</w:t>
      </w:r>
      <w:r>
        <w:rPr>
          <w:rFonts w:asciiTheme="minorHAnsi" w:hAnsiTheme="minorHAnsi" w:cstheme="minorBidi"/>
          <w:b w:val="0"/>
          <w:bCs w:val="0"/>
          <w:i w:val="0"/>
          <w:iCs w:val="0"/>
          <w:kern w:val="0"/>
          <w:sz w:val="22"/>
          <w:szCs w:val="22"/>
        </w:rPr>
        <w:tab/>
      </w:r>
      <w:r>
        <w:rPr>
          <w:rStyle w:val="23"/>
          <w:i w:val="0"/>
        </w:rPr>
        <w:t>The number of slot of TRS/CSI-RS occasion(s) should be configured as a common parameter common in TRS resource set.</w:t>
      </w:r>
      <w:r>
        <w:rPr>
          <w:rStyle w:val="23"/>
          <w:i w:val="0"/>
        </w:rPr>
        <w:fldChar w:fldCharType="end"/>
      </w:r>
    </w:p>
    <w:p>
      <w:pPr>
        <w:spacing w:before="120" w:after="120"/>
      </w:pPr>
      <w:r>
        <w:fldChar w:fldCharType="end"/>
      </w:r>
    </w:p>
    <w:p>
      <w:pPr>
        <w:pStyle w:val="2"/>
        <w:spacing w:before="120" w:after="120"/>
        <w:rPr>
          <w:b/>
        </w:rPr>
      </w:pPr>
      <w:r>
        <w:rPr>
          <w:b/>
        </w:rPr>
        <w:t>References</w:t>
      </w:r>
    </w:p>
    <w:p>
      <w:pPr>
        <w:pStyle w:val="6"/>
        <w:numPr>
          <w:ilvl w:val="0"/>
          <w:numId w:val="10"/>
        </w:numPr>
        <w:overflowPunct w:val="0"/>
        <w:autoSpaceDE w:val="0"/>
        <w:autoSpaceDN w:val="0"/>
        <w:adjustRightInd w:val="0"/>
        <w:snapToGrid w:val="0"/>
        <w:spacing w:before="120" w:beforeLines="0" w:after="120" w:afterLines="0" w:line="268" w:lineRule="auto"/>
        <w:contextualSpacing/>
        <w:textAlignment w:val="baseline"/>
        <w:rPr>
          <w:sz w:val="20"/>
        </w:rPr>
      </w:pPr>
      <w:bookmarkStart w:id="28" w:name="_Ref85704416"/>
      <w:bookmarkStart w:id="29" w:name="_Ref53394894"/>
      <w:r>
        <w:rPr>
          <w:sz w:val="20"/>
        </w:rPr>
        <w:t>Draft_Minutes_report_RAN1#106b-e_v020.</w:t>
      </w:r>
      <w:bookmarkEnd w:id="28"/>
    </w:p>
    <w:bookmarkEnd w:id="29"/>
    <w:p>
      <w:pPr>
        <w:pStyle w:val="6"/>
        <w:numPr>
          <w:ilvl w:val="0"/>
          <w:numId w:val="10"/>
        </w:numPr>
        <w:overflowPunct w:val="0"/>
        <w:autoSpaceDE w:val="0"/>
        <w:autoSpaceDN w:val="0"/>
        <w:adjustRightInd w:val="0"/>
        <w:snapToGrid w:val="0"/>
        <w:spacing w:before="120" w:beforeLines="0" w:after="120" w:afterLines="0" w:line="268" w:lineRule="auto"/>
        <w:contextualSpacing/>
        <w:textAlignment w:val="baseline"/>
        <w:rPr>
          <w:sz w:val="20"/>
        </w:rPr>
      </w:pPr>
      <w:bookmarkStart w:id="30" w:name="_Ref85726643"/>
      <w:r>
        <w:rPr>
          <w:sz w:val="20"/>
        </w:rPr>
        <w:t>RP-212611, Moderator's summary for discussion [93e-18-PowSav-WI].</w:t>
      </w:r>
      <w:bookmarkEnd w:id="30"/>
    </w:p>
    <w:p>
      <w:pPr>
        <w:pStyle w:val="6"/>
        <w:numPr>
          <w:ilvl w:val="0"/>
          <w:numId w:val="10"/>
        </w:numPr>
        <w:overflowPunct w:val="0"/>
        <w:autoSpaceDE w:val="0"/>
        <w:autoSpaceDN w:val="0"/>
        <w:adjustRightInd w:val="0"/>
        <w:snapToGrid w:val="0"/>
        <w:spacing w:before="120" w:beforeLines="0" w:after="120" w:afterLines="0" w:line="268" w:lineRule="auto"/>
        <w:contextualSpacing/>
        <w:textAlignment w:val="baseline"/>
        <w:rPr>
          <w:sz w:val="20"/>
        </w:rPr>
      </w:pPr>
      <w:r>
        <w:fldChar w:fldCharType="begin"/>
      </w:r>
      <w:r>
        <w:instrText xml:space="preserve"> HYPERLINK "javascript:void(0);" \t "_blank" </w:instrText>
      </w:r>
      <w:r>
        <w:fldChar w:fldCharType="separate"/>
      </w:r>
      <w:r>
        <w:rPr>
          <w:sz w:val="20"/>
        </w:rPr>
        <w:t>https://www.3gpp.org/ftp/tsg_ran/WG1_RL1/TSGR1_106b-e/Inbox/drafts/8/38.214%20draft%20CRs/R1-21xxxxx%20draft%20CR%2038.214%20NR_UE_pow_sav_enh-Core_v2.docx</w:t>
      </w:r>
      <w:r>
        <w:rPr>
          <w:sz w:val="20"/>
        </w:rPr>
        <w:fldChar w:fldCharType="end"/>
      </w:r>
    </w:p>
    <w:p>
      <w:pPr>
        <w:pStyle w:val="6"/>
        <w:overflowPunct w:val="0"/>
        <w:autoSpaceDE w:val="0"/>
        <w:autoSpaceDN w:val="0"/>
        <w:adjustRightInd w:val="0"/>
        <w:snapToGrid w:val="0"/>
        <w:spacing w:before="120" w:beforeLines="0" w:after="120" w:afterLines="0" w:line="268" w:lineRule="auto"/>
        <w:ind w:left="420"/>
        <w:contextualSpacing/>
        <w:textAlignment w:val="baseline"/>
        <w:rPr>
          <w:sz w:val="20"/>
        </w:rPr>
      </w:pPr>
    </w:p>
    <w:p>
      <w:pPr>
        <w:spacing w:beforeLines="0" w:afterLines="0"/>
        <w:jc w:val="left"/>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Microsoft YaHei UI">
    <w:panose1 w:val="020B0503020204020204"/>
    <w:charset w:val="86"/>
    <w:family w:val="swiss"/>
    <w:pitch w:val="default"/>
    <w:sig w:usb0="80000287" w:usb1="28CF3C52" w:usb2="00000016" w:usb3="00000000" w:csb0="0004001F" w:csb1="00000000"/>
  </w:font>
  <w:font w:name="Consolas">
    <w:panose1 w:val="020B0609020204030204"/>
    <w:charset w:val="00"/>
    <w:family w:val="modern"/>
    <w:pitch w:val="default"/>
    <w:sig w:usb0="E10002FF" w:usb1="4000FCFF" w:usb2="00000009" w:usb3="00000000" w:csb0="6000019F" w:csb1="DFD70000"/>
  </w:font>
  <w:font w:name="Batang">
    <w:panose1 w:val="02030600000101010101"/>
    <w:charset w:val="81"/>
    <w:family w:val="roman"/>
    <w:pitch w:val="default"/>
    <w:sig w:usb0="B00002AF" w:usb1="69D77CFB" w:usb2="00000030" w:usb3="00000000" w:csb0="4008009F" w:csb1="DFD70000"/>
  </w:font>
  <w:font w:name="Gulim">
    <w:panose1 w:val="020B0600000101010101"/>
    <w:charset w:val="81"/>
    <w:family w:val="swiss"/>
    <w:pitch w:val="default"/>
    <w:sig w:usb0="B00002AF" w:usb1="69D77CFB" w:usb2="00000030" w:usb3="00000000" w:csb0="4008009F" w:csb1="DFD70000"/>
  </w:font>
  <w:font w:name="等线">
    <w:altName w:val="微软雅黑"/>
    <w:panose1 w:val="00000000000000000000"/>
    <w:charset w:val="86"/>
    <w:family w:val="auto"/>
    <w:pitch w:val="default"/>
    <w:sig w:usb0="00000000" w:usb1="00000000" w:usb2="00000016" w:usb3="00000000" w:csb0="0004000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DengXian">
    <w:altName w:val="宋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spacing w:before="120" w:after="120"/>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9"/>
                      <w:spacing w:before="120" w:after="120"/>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tentative="0">
      <w:start w:val="1"/>
      <w:numFmt w:val="decimal"/>
      <w:pStyle w:val="28"/>
      <w:lvlText w:val="Observation %1: "/>
      <w:lvlJc w:val="left"/>
      <w:pPr>
        <w:tabs>
          <w:tab w:val="left" w:pos="0"/>
        </w:tabs>
        <w:ind w:left="0" w:firstLine="0"/>
      </w:pPr>
      <w:rPr>
        <w:rFonts w:hint="default" w:ascii="Times New Roman" w:hAnsi="Times New Roman" w:eastAsia="宋体" w:cs="Times New Roman"/>
        <w:b/>
        <w:bCs/>
        <w:i w:val="0"/>
        <w:iCs w:val="0"/>
        <w:sz w:val="21"/>
        <w:szCs w:val="21"/>
      </w:rPr>
    </w:lvl>
  </w:abstractNum>
  <w:abstractNum w:abstractNumId="1">
    <w:nsid w:val="B15F0BA4"/>
    <w:multiLevelType w:val="singleLevel"/>
    <w:tmpl w:val="B15F0BA4"/>
    <w:lvl w:ilvl="0" w:tentative="0">
      <w:start w:val="1"/>
      <w:numFmt w:val="bullet"/>
      <w:pStyle w:val="32"/>
      <w:lvlText w:val="-"/>
      <w:lvlJc w:val="left"/>
      <w:pPr>
        <w:ind w:left="420" w:hanging="420"/>
      </w:pPr>
      <w:rPr>
        <w:rFonts w:hint="default" w:ascii="Arial" w:hAnsi="Arial" w:cs="Arial"/>
      </w:rPr>
    </w:lvl>
  </w:abstractNum>
  <w:abstractNum w:abstractNumId="2">
    <w:nsid w:val="BD0CA652"/>
    <w:multiLevelType w:val="multilevel"/>
    <w:tmpl w:val="BD0CA652"/>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9066645"/>
    <w:multiLevelType w:val="multilevel"/>
    <w:tmpl w:val="0906664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5">
    <w:nsid w:val="508BE803"/>
    <w:multiLevelType w:val="singleLevel"/>
    <w:tmpl w:val="508BE803"/>
    <w:lvl w:ilvl="0" w:tentative="0">
      <w:start w:val="1"/>
      <w:numFmt w:val="bullet"/>
      <w:pStyle w:val="33"/>
      <w:lvlText w:val="-"/>
      <w:lvlJc w:val="left"/>
      <w:pPr>
        <w:ind w:left="420" w:hanging="420"/>
      </w:pPr>
      <w:rPr>
        <w:rFonts w:hint="default" w:ascii="Arial" w:hAnsi="Arial" w:cs="Arial"/>
      </w:rPr>
    </w:lvl>
  </w:abstractNum>
  <w:abstractNum w:abstractNumId="6">
    <w:nsid w:val="703157D4"/>
    <w:multiLevelType w:val="multilevel"/>
    <w:tmpl w:val="703157D4"/>
    <w:lvl w:ilvl="0" w:tentative="0">
      <w:start w:val="1"/>
      <w:numFmt w:val="decimal"/>
      <w:pStyle w:val="2"/>
      <w:lvlText w:val="%1."/>
      <w:lvlJc w:val="left"/>
      <w:pPr>
        <w:tabs>
          <w:tab w:val="left" w:pos="425"/>
        </w:tabs>
        <w:ind w:left="425" w:hanging="425"/>
      </w:pPr>
      <w:rPr>
        <w:rFonts w:hint="default" w:ascii="Arial" w:hAnsi="Arial" w:cs="Arial"/>
        <w:b/>
        <w:color w:val="auto"/>
        <w:lang w:val="en-US"/>
      </w:rPr>
    </w:lvl>
    <w:lvl w:ilvl="1" w:tentative="0">
      <w:start w:val="1"/>
      <w:numFmt w:val="decimal"/>
      <w:pStyle w:val="3"/>
      <w:lvlText w:val="%1.%2."/>
      <w:lvlJc w:val="left"/>
      <w:pPr>
        <w:tabs>
          <w:tab w:val="left" w:pos="567"/>
        </w:tabs>
        <w:ind w:left="567" w:hanging="567"/>
      </w:pPr>
      <w:rPr>
        <w:rFonts w:hint="default" w:ascii="Arial" w:hAnsi="Arial" w:cs="Arial"/>
      </w:rPr>
    </w:lvl>
    <w:lvl w:ilvl="2" w:tentative="0">
      <w:start w:val="1"/>
      <w:numFmt w:val="decimal"/>
      <w:pStyle w:val="4"/>
      <w:lvlText w:val="%1.%2.%3."/>
      <w:lvlJc w:val="left"/>
      <w:pPr>
        <w:tabs>
          <w:tab w:val="left" w:pos="1418"/>
        </w:tabs>
        <w:ind w:left="1418" w:hanging="709"/>
      </w:pPr>
      <w:rPr>
        <w:lang w:val="en-US"/>
      </w:r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7">
    <w:nsid w:val="795C0AF9"/>
    <w:multiLevelType w:val="multilevel"/>
    <w:tmpl w:val="795C0AF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DC436CD"/>
    <w:multiLevelType w:val="singleLevel"/>
    <w:tmpl w:val="7DC436CD"/>
    <w:lvl w:ilvl="0" w:tentative="0">
      <w:start w:val="1"/>
      <w:numFmt w:val="bullet"/>
      <w:pStyle w:val="30"/>
      <w:lvlText w:val="•"/>
      <w:lvlJc w:val="left"/>
      <w:pPr>
        <w:tabs>
          <w:tab w:val="left" w:pos="420"/>
        </w:tabs>
        <w:ind w:left="420" w:hanging="378"/>
      </w:pPr>
      <w:rPr>
        <w:rFonts w:hint="default" w:ascii="Arial" w:hAnsi="Arial" w:cs="Arial"/>
      </w:rPr>
    </w:lvl>
  </w:abstractNum>
  <w:num w:numId="1">
    <w:abstractNumId w:val="6"/>
  </w:num>
  <w:num w:numId="2">
    <w:abstractNumId w:val="0"/>
  </w:num>
  <w:num w:numId="3">
    <w:abstractNumId w:val="2"/>
  </w:num>
  <w:num w:numId="4">
    <w:abstractNumId w:val="9"/>
  </w:num>
  <w:num w:numId="5">
    <w:abstractNumId w:val="1"/>
  </w:num>
  <w:num w:numId="6">
    <w:abstractNumId w:val="5"/>
  </w:num>
  <w:num w:numId="7">
    <w:abstractNumId w:val="4"/>
  </w:num>
  <w:num w:numId="8">
    <w:abstractNumId w:val="3"/>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BC4"/>
    <w:rsid w:val="000049E8"/>
    <w:rsid w:val="00005B56"/>
    <w:rsid w:val="00010564"/>
    <w:rsid w:val="00011B0F"/>
    <w:rsid w:val="00012E89"/>
    <w:rsid w:val="00013735"/>
    <w:rsid w:val="00013A2F"/>
    <w:rsid w:val="00015154"/>
    <w:rsid w:val="00015BFB"/>
    <w:rsid w:val="00015EDB"/>
    <w:rsid w:val="0002385A"/>
    <w:rsid w:val="00026E93"/>
    <w:rsid w:val="0003187F"/>
    <w:rsid w:val="00033EC3"/>
    <w:rsid w:val="00036992"/>
    <w:rsid w:val="00040549"/>
    <w:rsid w:val="000414B4"/>
    <w:rsid w:val="00042B43"/>
    <w:rsid w:val="00042E39"/>
    <w:rsid w:val="0004491B"/>
    <w:rsid w:val="00045722"/>
    <w:rsid w:val="00051C88"/>
    <w:rsid w:val="00052732"/>
    <w:rsid w:val="00062D6B"/>
    <w:rsid w:val="00064D22"/>
    <w:rsid w:val="000658C9"/>
    <w:rsid w:val="00071F6D"/>
    <w:rsid w:val="00074A98"/>
    <w:rsid w:val="000777BE"/>
    <w:rsid w:val="00080105"/>
    <w:rsid w:val="00082056"/>
    <w:rsid w:val="00083781"/>
    <w:rsid w:val="0009312A"/>
    <w:rsid w:val="00093915"/>
    <w:rsid w:val="00095F04"/>
    <w:rsid w:val="0009787C"/>
    <w:rsid w:val="000A0061"/>
    <w:rsid w:val="000A50BB"/>
    <w:rsid w:val="000A56DA"/>
    <w:rsid w:val="000A6B3B"/>
    <w:rsid w:val="000A7038"/>
    <w:rsid w:val="000B20CA"/>
    <w:rsid w:val="000B433C"/>
    <w:rsid w:val="000B5301"/>
    <w:rsid w:val="000B63CC"/>
    <w:rsid w:val="000C00C4"/>
    <w:rsid w:val="000C032F"/>
    <w:rsid w:val="000C2C52"/>
    <w:rsid w:val="000C4F7F"/>
    <w:rsid w:val="000C6FD0"/>
    <w:rsid w:val="000C7C50"/>
    <w:rsid w:val="000D26FB"/>
    <w:rsid w:val="000D3E3E"/>
    <w:rsid w:val="000D3EC2"/>
    <w:rsid w:val="000E02A6"/>
    <w:rsid w:val="000E24D0"/>
    <w:rsid w:val="000E501F"/>
    <w:rsid w:val="000E5ECB"/>
    <w:rsid w:val="000F47DD"/>
    <w:rsid w:val="000F5792"/>
    <w:rsid w:val="000F65FF"/>
    <w:rsid w:val="000F72AD"/>
    <w:rsid w:val="00102A41"/>
    <w:rsid w:val="001034DA"/>
    <w:rsid w:val="0010617D"/>
    <w:rsid w:val="00106942"/>
    <w:rsid w:val="00110157"/>
    <w:rsid w:val="00111ABB"/>
    <w:rsid w:val="001148CA"/>
    <w:rsid w:val="00115CEE"/>
    <w:rsid w:val="0011638F"/>
    <w:rsid w:val="001163CA"/>
    <w:rsid w:val="00123CD0"/>
    <w:rsid w:val="00124E11"/>
    <w:rsid w:val="00127AC6"/>
    <w:rsid w:val="00130CE8"/>
    <w:rsid w:val="00130DB1"/>
    <w:rsid w:val="0013707E"/>
    <w:rsid w:val="00142F5D"/>
    <w:rsid w:val="001452CB"/>
    <w:rsid w:val="00145F6E"/>
    <w:rsid w:val="001506E9"/>
    <w:rsid w:val="00150BDC"/>
    <w:rsid w:val="00155283"/>
    <w:rsid w:val="00160CE4"/>
    <w:rsid w:val="00166DD7"/>
    <w:rsid w:val="0016721A"/>
    <w:rsid w:val="00167965"/>
    <w:rsid w:val="00167D62"/>
    <w:rsid w:val="001723C4"/>
    <w:rsid w:val="00172A27"/>
    <w:rsid w:val="0017401B"/>
    <w:rsid w:val="00177DE7"/>
    <w:rsid w:val="0018123C"/>
    <w:rsid w:val="001901D7"/>
    <w:rsid w:val="001915CC"/>
    <w:rsid w:val="0019248B"/>
    <w:rsid w:val="00194175"/>
    <w:rsid w:val="0019443E"/>
    <w:rsid w:val="001A1230"/>
    <w:rsid w:val="001B4499"/>
    <w:rsid w:val="001B6A16"/>
    <w:rsid w:val="001C2B5C"/>
    <w:rsid w:val="001C2BFA"/>
    <w:rsid w:val="001C2E94"/>
    <w:rsid w:val="001C2F7A"/>
    <w:rsid w:val="001C396E"/>
    <w:rsid w:val="001C4373"/>
    <w:rsid w:val="001C5285"/>
    <w:rsid w:val="001D1E0F"/>
    <w:rsid w:val="001D7284"/>
    <w:rsid w:val="001E3429"/>
    <w:rsid w:val="001E4AD3"/>
    <w:rsid w:val="001E68D2"/>
    <w:rsid w:val="001F205D"/>
    <w:rsid w:val="001F5DE1"/>
    <w:rsid w:val="00200427"/>
    <w:rsid w:val="00201826"/>
    <w:rsid w:val="00201B4B"/>
    <w:rsid w:val="00202544"/>
    <w:rsid w:val="00203DCE"/>
    <w:rsid w:val="002040EC"/>
    <w:rsid w:val="002043B3"/>
    <w:rsid w:val="00204BEB"/>
    <w:rsid w:val="00213AD6"/>
    <w:rsid w:val="00217072"/>
    <w:rsid w:val="00220648"/>
    <w:rsid w:val="002217CD"/>
    <w:rsid w:val="00222925"/>
    <w:rsid w:val="002254E5"/>
    <w:rsid w:val="00230709"/>
    <w:rsid w:val="00232007"/>
    <w:rsid w:val="00234083"/>
    <w:rsid w:val="00235477"/>
    <w:rsid w:val="00237DDB"/>
    <w:rsid w:val="002460EB"/>
    <w:rsid w:val="002512A8"/>
    <w:rsid w:val="00254F32"/>
    <w:rsid w:val="00257EC5"/>
    <w:rsid w:val="00260CC3"/>
    <w:rsid w:val="00262B06"/>
    <w:rsid w:val="00262FEA"/>
    <w:rsid w:val="0026380E"/>
    <w:rsid w:val="0026493E"/>
    <w:rsid w:val="002658F7"/>
    <w:rsid w:val="00266EB2"/>
    <w:rsid w:val="0026734A"/>
    <w:rsid w:val="00267AFD"/>
    <w:rsid w:val="00270871"/>
    <w:rsid w:val="00272E7B"/>
    <w:rsid w:val="00274295"/>
    <w:rsid w:val="00281CC3"/>
    <w:rsid w:val="00282462"/>
    <w:rsid w:val="00286173"/>
    <w:rsid w:val="002864B5"/>
    <w:rsid w:val="00286C8F"/>
    <w:rsid w:val="00291E13"/>
    <w:rsid w:val="00292BDC"/>
    <w:rsid w:val="00294552"/>
    <w:rsid w:val="00295EA8"/>
    <w:rsid w:val="00297BF5"/>
    <w:rsid w:val="002A04F0"/>
    <w:rsid w:val="002A1851"/>
    <w:rsid w:val="002A4743"/>
    <w:rsid w:val="002A4C0D"/>
    <w:rsid w:val="002B0CE2"/>
    <w:rsid w:val="002B15BE"/>
    <w:rsid w:val="002B3DE6"/>
    <w:rsid w:val="002B3F85"/>
    <w:rsid w:val="002B4EB7"/>
    <w:rsid w:val="002B532D"/>
    <w:rsid w:val="002B5A90"/>
    <w:rsid w:val="002B7403"/>
    <w:rsid w:val="002C06E5"/>
    <w:rsid w:val="002C1973"/>
    <w:rsid w:val="002C1A59"/>
    <w:rsid w:val="002C39E2"/>
    <w:rsid w:val="002C7631"/>
    <w:rsid w:val="002C7E36"/>
    <w:rsid w:val="002D07C7"/>
    <w:rsid w:val="002D37B3"/>
    <w:rsid w:val="002D3951"/>
    <w:rsid w:val="002D6898"/>
    <w:rsid w:val="002D71CE"/>
    <w:rsid w:val="002D796D"/>
    <w:rsid w:val="002E0209"/>
    <w:rsid w:val="002E33F2"/>
    <w:rsid w:val="002E4D00"/>
    <w:rsid w:val="002F25AA"/>
    <w:rsid w:val="002F5528"/>
    <w:rsid w:val="002F5842"/>
    <w:rsid w:val="002F5C28"/>
    <w:rsid w:val="002F79D3"/>
    <w:rsid w:val="00300757"/>
    <w:rsid w:val="00301077"/>
    <w:rsid w:val="00303048"/>
    <w:rsid w:val="0030437B"/>
    <w:rsid w:val="00304BDD"/>
    <w:rsid w:val="00304C98"/>
    <w:rsid w:val="00305D85"/>
    <w:rsid w:val="00311AFE"/>
    <w:rsid w:val="00311DAC"/>
    <w:rsid w:val="00313597"/>
    <w:rsid w:val="003145EF"/>
    <w:rsid w:val="00315468"/>
    <w:rsid w:val="00315484"/>
    <w:rsid w:val="00321888"/>
    <w:rsid w:val="00322A63"/>
    <w:rsid w:val="00331B1C"/>
    <w:rsid w:val="00331EF2"/>
    <w:rsid w:val="003323A1"/>
    <w:rsid w:val="00332BCF"/>
    <w:rsid w:val="00334414"/>
    <w:rsid w:val="00334743"/>
    <w:rsid w:val="0034672B"/>
    <w:rsid w:val="00350003"/>
    <w:rsid w:val="00354570"/>
    <w:rsid w:val="00355ED2"/>
    <w:rsid w:val="0036155F"/>
    <w:rsid w:val="00365D66"/>
    <w:rsid w:val="0036685B"/>
    <w:rsid w:val="00367434"/>
    <w:rsid w:val="00367EF9"/>
    <w:rsid w:val="003706DE"/>
    <w:rsid w:val="00370C23"/>
    <w:rsid w:val="00371CBB"/>
    <w:rsid w:val="00374E64"/>
    <w:rsid w:val="003756A5"/>
    <w:rsid w:val="00375853"/>
    <w:rsid w:val="00375A07"/>
    <w:rsid w:val="003766C6"/>
    <w:rsid w:val="003774FC"/>
    <w:rsid w:val="00377BC5"/>
    <w:rsid w:val="0038022E"/>
    <w:rsid w:val="00380742"/>
    <w:rsid w:val="00381A93"/>
    <w:rsid w:val="00384D87"/>
    <w:rsid w:val="00393918"/>
    <w:rsid w:val="00396ADB"/>
    <w:rsid w:val="00397643"/>
    <w:rsid w:val="00397A5E"/>
    <w:rsid w:val="003A0D86"/>
    <w:rsid w:val="003A103D"/>
    <w:rsid w:val="003A2179"/>
    <w:rsid w:val="003A5697"/>
    <w:rsid w:val="003A6CDE"/>
    <w:rsid w:val="003A7998"/>
    <w:rsid w:val="003A7E56"/>
    <w:rsid w:val="003B1149"/>
    <w:rsid w:val="003B217C"/>
    <w:rsid w:val="003B3AEC"/>
    <w:rsid w:val="003B53D8"/>
    <w:rsid w:val="003C03B3"/>
    <w:rsid w:val="003C148B"/>
    <w:rsid w:val="003C31D2"/>
    <w:rsid w:val="003C5413"/>
    <w:rsid w:val="003C692F"/>
    <w:rsid w:val="003C7DAD"/>
    <w:rsid w:val="003D0C53"/>
    <w:rsid w:val="003D17C6"/>
    <w:rsid w:val="003D1DD7"/>
    <w:rsid w:val="003D2C54"/>
    <w:rsid w:val="003D3A19"/>
    <w:rsid w:val="003D3A4E"/>
    <w:rsid w:val="003E1F8E"/>
    <w:rsid w:val="003E38AE"/>
    <w:rsid w:val="003E4BBB"/>
    <w:rsid w:val="003E4E55"/>
    <w:rsid w:val="003E6B0E"/>
    <w:rsid w:val="003F06EF"/>
    <w:rsid w:val="003F090C"/>
    <w:rsid w:val="003F13B2"/>
    <w:rsid w:val="003F29D4"/>
    <w:rsid w:val="003F732F"/>
    <w:rsid w:val="004021C5"/>
    <w:rsid w:val="00403071"/>
    <w:rsid w:val="00403D11"/>
    <w:rsid w:val="004077B6"/>
    <w:rsid w:val="004124A7"/>
    <w:rsid w:val="00413051"/>
    <w:rsid w:val="00416C53"/>
    <w:rsid w:val="00417CDA"/>
    <w:rsid w:val="004224F4"/>
    <w:rsid w:val="004246CD"/>
    <w:rsid w:val="00424B3D"/>
    <w:rsid w:val="004265D0"/>
    <w:rsid w:val="0043035C"/>
    <w:rsid w:val="004312D7"/>
    <w:rsid w:val="004326F4"/>
    <w:rsid w:val="00433BC2"/>
    <w:rsid w:val="0043548C"/>
    <w:rsid w:val="00436270"/>
    <w:rsid w:val="00437F72"/>
    <w:rsid w:val="00441FB9"/>
    <w:rsid w:val="004426F6"/>
    <w:rsid w:val="00442B77"/>
    <w:rsid w:val="0044362B"/>
    <w:rsid w:val="00445E0E"/>
    <w:rsid w:val="00452AB6"/>
    <w:rsid w:val="00453986"/>
    <w:rsid w:val="0045623B"/>
    <w:rsid w:val="00457063"/>
    <w:rsid w:val="004615AD"/>
    <w:rsid w:val="00461AA7"/>
    <w:rsid w:val="00462DF1"/>
    <w:rsid w:val="00466801"/>
    <w:rsid w:val="0047082E"/>
    <w:rsid w:val="004713A7"/>
    <w:rsid w:val="00473D08"/>
    <w:rsid w:val="00476112"/>
    <w:rsid w:val="004801B0"/>
    <w:rsid w:val="00486EC9"/>
    <w:rsid w:val="0048723D"/>
    <w:rsid w:val="0049054C"/>
    <w:rsid w:val="00491B27"/>
    <w:rsid w:val="00492843"/>
    <w:rsid w:val="00493873"/>
    <w:rsid w:val="00494709"/>
    <w:rsid w:val="00494ABB"/>
    <w:rsid w:val="00496216"/>
    <w:rsid w:val="004A40CB"/>
    <w:rsid w:val="004A5821"/>
    <w:rsid w:val="004A722F"/>
    <w:rsid w:val="004A7627"/>
    <w:rsid w:val="004B19EB"/>
    <w:rsid w:val="004B313B"/>
    <w:rsid w:val="004B616A"/>
    <w:rsid w:val="004C05FA"/>
    <w:rsid w:val="004C1151"/>
    <w:rsid w:val="004C3927"/>
    <w:rsid w:val="004C4AF2"/>
    <w:rsid w:val="004C73DA"/>
    <w:rsid w:val="004C7FE3"/>
    <w:rsid w:val="004D22C8"/>
    <w:rsid w:val="004D3B80"/>
    <w:rsid w:val="004D3CE3"/>
    <w:rsid w:val="004D4EF6"/>
    <w:rsid w:val="004E1BED"/>
    <w:rsid w:val="004E3EA6"/>
    <w:rsid w:val="004F075B"/>
    <w:rsid w:val="004F0E8D"/>
    <w:rsid w:val="004F1661"/>
    <w:rsid w:val="004F1990"/>
    <w:rsid w:val="004F342B"/>
    <w:rsid w:val="004F4D90"/>
    <w:rsid w:val="004F5970"/>
    <w:rsid w:val="004F7324"/>
    <w:rsid w:val="00500199"/>
    <w:rsid w:val="00500596"/>
    <w:rsid w:val="00503141"/>
    <w:rsid w:val="005057CA"/>
    <w:rsid w:val="00512BB1"/>
    <w:rsid w:val="00512C4A"/>
    <w:rsid w:val="00513620"/>
    <w:rsid w:val="00514484"/>
    <w:rsid w:val="00514F9D"/>
    <w:rsid w:val="00517339"/>
    <w:rsid w:val="005212D2"/>
    <w:rsid w:val="005228C9"/>
    <w:rsid w:val="00522A39"/>
    <w:rsid w:val="00523469"/>
    <w:rsid w:val="005239CC"/>
    <w:rsid w:val="00523A3B"/>
    <w:rsid w:val="00525B7E"/>
    <w:rsid w:val="0052699D"/>
    <w:rsid w:val="00533BC4"/>
    <w:rsid w:val="005342B5"/>
    <w:rsid w:val="0053431F"/>
    <w:rsid w:val="005375F5"/>
    <w:rsid w:val="005420CA"/>
    <w:rsid w:val="005436CE"/>
    <w:rsid w:val="005439D4"/>
    <w:rsid w:val="00546231"/>
    <w:rsid w:val="00552BE4"/>
    <w:rsid w:val="00553ACD"/>
    <w:rsid w:val="00554C6F"/>
    <w:rsid w:val="00555721"/>
    <w:rsid w:val="005562C9"/>
    <w:rsid w:val="005569D3"/>
    <w:rsid w:val="00557624"/>
    <w:rsid w:val="005603E3"/>
    <w:rsid w:val="005650A3"/>
    <w:rsid w:val="00566FDE"/>
    <w:rsid w:val="00567403"/>
    <w:rsid w:val="00577363"/>
    <w:rsid w:val="005802EF"/>
    <w:rsid w:val="0058355D"/>
    <w:rsid w:val="00583697"/>
    <w:rsid w:val="0058627E"/>
    <w:rsid w:val="0058704C"/>
    <w:rsid w:val="00591A58"/>
    <w:rsid w:val="005926B8"/>
    <w:rsid w:val="0059374D"/>
    <w:rsid w:val="00596298"/>
    <w:rsid w:val="00596344"/>
    <w:rsid w:val="005977CA"/>
    <w:rsid w:val="00597ADE"/>
    <w:rsid w:val="005A2999"/>
    <w:rsid w:val="005A3D2E"/>
    <w:rsid w:val="005A498F"/>
    <w:rsid w:val="005B065E"/>
    <w:rsid w:val="005B0D73"/>
    <w:rsid w:val="005B4981"/>
    <w:rsid w:val="005B5109"/>
    <w:rsid w:val="005B5D84"/>
    <w:rsid w:val="005D10DF"/>
    <w:rsid w:val="005D121D"/>
    <w:rsid w:val="005D14DB"/>
    <w:rsid w:val="005D2F88"/>
    <w:rsid w:val="005D369E"/>
    <w:rsid w:val="005D4BB6"/>
    <w:rsid w:val="005D5844"/>
    <w:rsid w:val="005E6D49"/>
    <w:rsid w:val="005F0E6D"/>
    <w:rsid w:val="005F1A12"/>
    <w:rsid w:val="005F1D5B"/>
    <w:rsid w:val="005F3D0F"/>
    <w:rsid w:val="005F4DBD"/>
    <w:rsid w:val="005F5DC5"/>
    <w:rsid w:val="005F62F1"/>
    <w:rsid w:val="005F6C1A"/>
    <w:rsid w:val="006007A7"/>
    <w:rsid w:val="00600DCB"/>
    <w:rsid w:val="0060237E"/>
    <w:rsid w:val="00603D55"/>
    <w:rsid w:val="006046B9"/>
    <w:rsid w:val="006071F6"/>
    <w:rsid w:val="00610066"/>
    <w:rsid w:val="00612155"/>
    <w:rsid w:val="0062153B"/>
    <w:rsid w:val="0062167D"/>
    <w:rsid w:val="006239E0"/>
    <w:rsid w:val="00623BE2"/>
    <w:rsid w:val="00623CFC"/>
    <w:rsid w:val="00623F12"/>
    <w:rsid w:val="00624AB4"/>
    <w:rsid w:val="00624D93"/>
    <w:rsid w:val="00625510"/>
    <w:rsid w:val="00631D84"/>
    <w:rsid w:val="0063265C"/>
    <w:rsid w:val="006330AD"/>
    <w:rsid w:val="006338F0"/>
    <w:rsid w:val="00633C6F"/>
    <w:rsid w:val="00635439"/>
    <w:rsid w:val="0063757E"/>
    <w:rsid w:val="0064127E"/>
    <w:rsid w:val="006432A2"/>
    <w:rsid w:val="00643612"/>
    <w:rsid w:val="0064364B"/>
    <w:rsid w:val="006437D0"/>
    <w:rsid w:val="00643906"/>
    <w:rsid w:val="00645E36"/>
    <w:rsid w:val="00645E5F"/>
    <w:rsid w:val="00645E92"/>
    <w:rsid w:val="006464F5"/>
    <w:rsid w:val="006517B2"/>
    <w:rsid w:val="006534E5"/>
    <w:rsid w:val="00660233"/>
    <w:rsid w:val="00660316"/>
    <w:rsid w:val="006617CA"/>
    <w:rsid w:val="006621E7"/>
    <w:rsid w:val="00663C6F"/>
    <w:rsid w:val="00671B8B"/>
    <w:rsid w:val="00677C91"/>
    <w:rsid w:val="0068259E"/>
    <w:rsid w:val="00682B46"/>
    <w:rsid w:val="0068648D"/>
    <w:rsid w:val="00690357"/>
    <w:rsid w:val="00690656"/>
    <w:rsid w:val="00691ECA"/>
    <w:rsid w:val="006947E0"/>
    <w:rsid w:val="0069599D"/>
    <w:rsid w:val="00696A16"/>
    <w:rsid w:val="006970AA"/>
    <w:rsid w:val="00697666"/>
    <w:rsid w:val="006A072C"/>
    <w:rsid w:val="006A0E01"/>
    <w:rsid w:val="006A3FDE"/>
    <w:rsid w:val="006B10CB"/>
    <w:rsid w:val="006B43B4"/>
    <w:rsid w:val="006B55E4"/>
    <w:rsid w:val="006B5D6C"/>
    <w:rsid w:val="006B63E2"/>
    <w:rsid w:val="006C2268"/>
    <w:rsid w:val="006C33D5"/>
    <w:rsid w:val="006C4367"/>
    <w:rsid w:val="006C61BF"/>
    <w:rsid w:val="006C6280"/>
    <w:rsid w:val="006D1241"/>
    <w:rsid w:val="006D3CB8"/>
    <w:rsid w:val="006D413E"/>
    <w:rsid w:val="006D42B1"/>
    <w:rsid w:val="006D4AFE"/>
    <w:rsid w:val="006D606A"/>
    <w:rsid w:val="006E3C24"/>
    <w:rsid w:val="006E69D1"/>
    <w:rsid w:val="006F0B4C"/>
    <w:rsid w:val="006F68CB"/>
    <w:rsid w:val="006F7D0E"/>
    <w:rsid w:val="007041F5"/>
    <w:rsid w:val="00704207"/>
    <w:rsid w:val="00705F93"/>
    <w:rsid w:val="00711D48"/>
    <w:rsid w:val="00713810"/>
    <w:rsid w:val="00714952"/>
    <w:rsid w:val="007149EB"/>
    <w:rsid w:val="00715E91"/>
    <w:rsid w:val="007166E8"/>
    <w:rsid w:val="00716DC1"/>
    <w:rsid w:val="00720148"/>
    <w:rsid w:val="00723D47"/>
    <w:rsid w:val="00730307"/>
    <w:rsid w:val="00730714"/>
    <w:rsid w:val="00735105"/>
    <w:rsid w:val="00735F83"/>
    <w:rsid w:val="0074089D"/>
    <w:rsid w:val="00740E41"/>
    <w:rsid w:val="007476DD"/>
    <w:rsid w:val="0075380F"/>
    <w:rsid w:val="00753FE0"/>
    <w:rsid w:val="00754355"/>
    <w:rsid w:val="0076030A"/>
    <w:rsid w:val="007618F1"/>
    <w:rsid w:val="0076484B"/>
    <w:rsid w:val="00771B4E"/>
    <w:rsid w:val="00772B2F"/>
    <w:rsid w:val="00780973"/>
    <w:rsid w:val="00780E39"/>
    <w:rsid w:val="00781710"/>
    <w:rsid w:val="00790F03"/>
    <w:rsid w:val="00792B38"/>
    <w:rsid w:val="00795676"/>
    <w:rsid w:val="00795FC2"/>
    <w:rsid w:val="00797226"/>
    <w:rsid w:val="007A0C1E"/>
    <w:rsid w:val="007A24B9"/>
    <w:rsid w:val="007A3951"/>
    <w:rsid w:val="007A44FD"/>
    <w:rsid w:val="007A4D38"/>
    <w:rsid w:val="007A5CFF"/>
    <w:rsid w:val="007A6487"/>
    <w:rsid w:val="007A79A5"/>
    <w:rsid w:val="007B0734"/>
    <w:rsid w:val="007B3614"/>
    <w:rsid w:val="007B379C"/>
    <w:rsid w:val="007B6DD5"/>
    <w:rsid w:val="007C55CF"/>
    <w:rsid w:val="007C5CC7"/>
    <w:rsid w:val="007C6A0A"/>
    <w:rsid w:val="007C7CE5"/>
    <w:rsid w:val="007D0FEF"/>
    <w:rsid w:val="007D76B9"/>
    <w:rsid w:val="007D7DFF"/>
    <w:rsid w:val="007E04BD"/>
    <w:rsid w:val="007E4943"/>
    <w:rsid w:val="007E53B8"/>
    <w:rsid w:val="007E53F9"/>
    <w:rsid w:val="007E6352"/>
    <w:rsid w:val="007E7B39"/>
    <w:rsid w:val="007F23D0"/>
    <w:rsid w:val="007F34B4"/>
    <w:rsid w:val="007F5FF3"/>
    <w:rsid w:val="007F6B9D"/>
    <w:rsid w:val="007F7810"/>
    <w:rsid w:val="00801DD8"/>
    <w:rsid w:val="008026B7"/>
    <w:rsid w:val="00802ADB"/>
    <w:rsid w:val="00803A5E"/>
    <w:rsid w:val="00810409"/>
    <w:rsid w:val="00812184"/>
    <w:rsid w:val="00812554"/>
    <w:rsid w:val="0081629A"/>
    <w:rsid w:val="00817DE9"/>
    <w:rsid w:val="008204BD"/>
    <w:rsid w:val="00822829"/>
    <w:rsid w:val="00826384"/>
    <w:rsid w:val="00827397"/>
    <w:rsid w:val="00830ED1"/>
    <w:rsid w:val="00832641"/>
    <w:rsid w:val="00833356"/>
    <w:rsid w:val="0083582E"/>
    <w:rsid w:val="00842077"/>
    <w:rsid w:val="008421CD"/>
    <w:rsid w:val="00847916"/>
    <w:rsid w:val="0085010A"/>
    <w:rsid w:val="00850AE2"/>
    <w:rsid w:val="0085138F"/>
    <w:rsid w:val="00853828"/>
    <w:rsid w:val="00855F88"/>
    <w:rsid w:val="00856229"/>
    <w:rsid w:val="00862777"/>
    <w:rsid w:val="008632D8"/>
    <w:rsid w:val="008650A2"/>
    <w:rsid w:val="00865DD8"/>
    <w:rsid w:val="00867D45"/>
    <w:rsid w:val="0087065E"/>
    <w:rsid w:val="008720B5"/>
    <w:rsid w:val="0087435E"/>
    <w:rsid w:val="00875D0E"/>
    <w:rsid w:val="008766CC"/>
    <w:rsid w:val="0087761E"/>
    <w:rsid w:val="008776C3"/>
    <w:rsid w:val="0088094A"/>
    <w:rsid w:val="00880E89"/>
    <w:rsid w:val="00882BB6"/>
    <w:rsid w:val="00883679"/>
    <w:rsid w:val="00883A6D"/>
    <w:rsid w:val="00892A4A"/>
    <w:rsid w:val="0089468C"/>
    <w:rsid w:val="00894AD9"/>
    <w:rsid w:val="008A0205"/>
    <w:rsid w:val="008A05C1"/>
    <w:rsid w:val="008A49C1"/>
    <w:rsid w:val="008A578F"/>
    <w:rsid w:val="008B5242"/>
    <w:rsid w:val="008B7017"/>
    <w:rsid w:val="008B7CB0"/>
    <w:rsid w:val="008B7DB1"/>
    <w:rsid w:val="008C11DE"/>
    <w:rsid w:val="008C1A97"/>
    <w:rsid w:val="008C3050"/>
    <w:rsid w:val="008C329B"/>
    <w:rsid w:val="008C4DCB"/>
    <w:rsid w:val="008C4F39"/>
    <w:rsid w:val="008C5EAE"/>
    <w:rsid w:val="008C72D3"/>
    <w:rsid w:val="008D1D47"/>
    <w:rsid w:val="008D230F"/>
    <w:rsid w:val="008D38A0"/>
    <w:rsid w:val="008D54B2"/>
    <w:rsid w:val="008E0B96"/>
    <w:rsid w:val="008E1506"/>
    <w:rsid w:val="008E1835"/>
    <w:rsid w:val="008E3B41"/>
    <w:rsid w:val="008E5578"/>
    <w:rsid w:val="008E587D"/>
    <w:rsid w:val="008E59D8"/>
    <w:rsid w:val="008E617E"/>
    <w:rsid w:val="008E6E09"/>
    <w:rsid w:val="008F01DA"/>
    <w:rsid w:val="008F0C04"/>
    <w:rsid w:val="008F0FEF"/>
    <w:rsid w:val="008F11DE"/>
    <w:rsid w:val="008F5CF3"/>
    <w:rsid w:val="008F5ED0"/>
    <w:rsid w:val="0090147B"/>
    <w:rsid w:val="009027F5"/>
    <w:rsid w:val="009030A3"/>
    <w:rsid w:val="00903A57"/>
    <w:rsid w:val="00906C26"/>
    <w:rsid w:val="00910F03"/>
    <w:rsid w:val="00913AF4"/>
    <w:rsid w:val="009149BF"/>
    <w:rsid w:val="0091556B"/>
    <w:rsid w:val="009210EA"/>
    <w:rsid w:val="009243CD"/>
    <w:rsid w:val="009247F8"/>
    <w:rsid w:val="00927BFA"/>
    <w:rsid w:val="00930332"/>
    <w:rsid w:val="00931643"/>
    <w:rsid w:val="00932C11"/>
    <w:rsid w:val="00936B6A"/>
    <w:rsid w:val="00940D8A"/>
    <w:rsid w:val="009446ED"/>
    <w:rsid w:val="009470E0"/>
    <w:rsid w:val="00953CDE"/>
    <w:rsid w:val="0096044C"/>
    <w:rsid w:val="00964001"/>
    <w:rsid w:val="00972906"/>
    <w:rsid w:val="00973232"/>
    <w:rsid w:val="00975428"/>
    <w:rsid w:val="009774D5"/>
    <w:rsid w:val="009804C7"/>
    <w:rsid w:val="00980CE0"/>
    <w:rsid w:val="00985CDB"/>
    <w:rsid w:val="00986B59"/>
    <w:rsid w:val="00987BBD"/>
    <w:rsid w:val="00992303"/>
    <w:rsid w:val="00992476"/>
    <w:rsid w:val="009924EB"/>
    <w:rsid w:val="00992699"/>
    <w:rsid w:val="00992CAA"/>
    <w:rsid w:val="00992EB8"/>
    <w:rsid w:val="00994332"/>
    <w:rsid w:val="0099436F"/>
    <w:rsid w:val="009944AA"/>
    <w:rsid w:val="00995C37"/>
    <w:rsid w:val="009A1774"/>
    <w:rsid w:val="009A1A7E"/>
    <w:rsid w:val="009A287D"/>
    <w:rsid w:val="009A4BC9"/>
    <w:rsid w:val="009A4F1C"/>
    <w:rsid w:val="009B04DA"/>
    <w:rsid w:val="009B3585"/>
    <w:rsid w:val="009B4931"/>
    <w:rsid w:val="009B6EC5"/>
    <w:rsid w:val="009C0E26"/>
    <w:rsid w:val="009C3F08"/>
    <w:rsid w:val="009C4832"/>
    <w:rsid w:val="009C4F96"/>
    <w:rsid w:val="009C70BA"/>
    <w:rsid w:val="009C7B75"/>
    <w:rsid w:val="009D0920"/>
    <w:rsid w:val="009D1C4D"/>
    <w:rsid w:val="009D1E4F"/>
    <w:rsid w:val="009D2E24"/>
    <w:rsid w:val="009D7EBD"/>
    <w:rsid w:val="009E38DA"/>
    <w:rsid w:val="009E3CEF"/>
    <w:rsid w:val="009E48D3"/>
    <w:rsid w:val="009E6223"/>
    <w:rsid w:val="009E66B7"/>
    <w:rsid w:val="009E714D"/>
    <w:rsid w:val="009E79B2"/>
    <w:rsid w:val="009F4779"/>
    <w:rsid w:val="009F5283"/>
    <w:rsid w:val="00A027EF"/>
    <w:rsid w:val="00A02943"/>
    <w:rsid w:val="00A03152"/>
    <w:rsid w:val="00A036D5"/>
    <w:rsid w:val="00A03B7D"/>
    <w:rsid w:val="00A05BD7"/>
    <w:rsid w:val="00A06031"/>
    <w:rsid w:val="00A07279"/>
    <w:rsid w:val="00A1182C"/>
    <w:rsid w:val="00A12F88"/>
    <w:rsid w:val="00A1312C"/>
    <w:rsid w:val="00A13440"/>
    <w:rsid w:val="00A14FF2"/>
    <w:rsid w:val="00A16B63"/>
    <w:rsid w:val="00A17DB2"/>
    <w:rsid w:val="00A200F5"/>
    <w:rsid w:val="00A20361"/>
    <w:rsid w:val="00A219B1"/>
    <w:rsid w:val="00A271B3"/>
    <w:rsid w:val="00A30CBD"/>
    <w:rsid w:val="00A31B69"/>
    <w:rsid w:val="00A3227C"/>
    <w:rsid w:val="00A37E5D"/>
    <w:rsid w:val="00A4166A"/>
    <w:rsid w:val="00A438C4"/>
    <w:rsid w:val="00A43C5B"/>
    <w:rsid w:val="00A45860"/>
    <w:rsid w:val="00A466D8"/>
    <w:rsid w:val="00A46CC4"/>
    <w:rsid w:val="00A52363"/>
    <w:rsid w:val="00A53FA8"/>
    <w:rsid w:val="00A547CA"/>
    <w:rsid w:val="00A54D0B"/>
    <w:rsid w:val="00A54F7A"/>
    <w:rsid w:val="00A575F0"/>
    <w:rsid w:val="00A57F9E"/>
    <w:rsid w:val="00A62427"/>
    <w:rsid w:val="00A62673"/>
    <w:rsid w:val="00A707AA"/>
    <w:rsid w:val="00A71639"/>
    <w:rsid w:val="00A71F14"/>
    <w:rsid w:val="00A73D2C"/>
    <w:rsid w:val="00A7612E"/>
    <w:rsid w:val="00A76CE7"/>
    <w:rsid w:val="00A8126A"/>
    <w:rsid w:val="00A86E7F"/>
    <w:rsid w:val="00A878AE"/>
    <w:rsid w:val="00A90424"/>
    <w:rsid w:val="00A91F33"/>
    <w:rsid w:val="00A92636"/>
    <w:rsid w:val="00A941B0"/>
    <w:rsid w:val="00A96DE3"/>
    <w:rsid w:val="00AA6E04"/>
    <w:rsid w:val="00AC3E8A"/>
    <w:rsid w:val="00AC42B7"/>
    <w:rsid w:val="00AC5537"/>
    <w:rsid w:val="00AD081B"/>
    <w:rsid w:val="00AD1FA7"/>
    <w:rsid w:val="00AD2438"/>
    <w:rsid w:val="00AD3BC6"/>
    <w:rsid w:val="00AD4752"/>
    <w:rsid w:val="00AD6788"/>
    <w:rsid w:val="00AE3D55"/>
    <w:rsid w:val="00AE5669"/>
    <w:rsid w:val="00AE6BAC"/>
    <w:rsid w:val="00AF08F4"/>
    <w:rsid w:val="00AF3257"/>
    <w:rsid w:val="00AF5656"/>
    <w:rsid w:val="00AF7C15"/>
    <w:rsid w:val="00B00BBB"/>
    <w:rsid w:val="00B01BEF"/>
    <w:rsid w:val="00B063D4"/>
    <w:rsid w:val="00B106A5"/>
    <w:rsid w:val="00B11AE3"/>
    <w:rsid w:val="00B1397C"/>
    <w:rsid w:val="00B14C72"/>
    <w:rsid w:val="00B221E8"/>
    <w:rsid w:val="00B224D1"/>
    <w:rsid w:val="00B31A6C"/>
    <w:rsid w:val="00B3784E"/>
    <w:rsid w:val="00B443BD"/>
    <w:rsid w:val="00B47DE3"/>
    <w:rsid w:val="00B519FC"/>
    <w:rsid w:val="00B52855"/>
    <w:rsid w:val="00B52A28"/>
    <w:rsid w:val="00B52D09"/>
    <w:rsid w:val="00B53FAE"/>
    <w:rsid w:val="00B54D5E"/>
    <w:rsid w:val="00B61CE0"/>
    <w:rsid w:val="00B644D7"/>
    <w:rsid w:val="00B66332"/>
    <w:rsid w:val="00B73097"/>
    <w:rsid w:val="00B776B3"/>
    <w:rsid w:val="00B779BC"/>
    <w:rsid w:val="00B819FA"/>
    <w:rsid w:val="00B81A6F"/>
    <w:rsid w:val="00B85E32"/>
    <w:rsid w:val="00B9484C"/>
    <w:rsid w:val="00B954C7"/>
    <w:rsid w:val="00B978CB"/>
    <w:rsid w:val="00B97ADE"/>
    <w:rsid w:val="00BA1BD7"/>
    <w:rsid w:val="00BA715F"/>
    <w:rsid w:val="00BB1D2A"/>
    <w:rsid w:val="00BB3D42"/>
    <w:rsid w:val="00BB5236"/>
    <w:rsid w:val="00BB6814"/>
    <w:rsid w:val="00BB6D8A"/>
    <w:rsid w:val="00BC22AE"/>
    <w:rsid w:val="00BC2560"/>
    <w:rsid w:val="00BD47B2"/>
    <w:rsid w:val="00BD4F85"/>
    <w:rsid w:val="00BD52A6"/>
    <w:rsid w:val="00BD57AC"/>
    <w:rsid w:val="00BD6309"/>
    <w:rsid w:val="00BD73B8"/>
    <w:rsid w:val="00BE1FC3"/>
    <w:rsid w:val="00BE51C0"/>
    <w:rsid w:val="00BE559C"/>
    <w:rsid w:val="00BE5EFB"/>
    <w:rsid w:val="00BE641D"/>
    <w:rsid w:val="00BE7D9D"/>
    <w:rsid w:val="00BF02DD"/>
    <w:rsid w:val="00BF1E7C"/>
    <w:rsid w:val="00BF2EFE"/>
    <w:rsid w:val="00BF4B0E"/>
    <w:rsid w:val="00BF55DA"/>
    <w:rsid w:val="00BF5667"/>
    <w:rsid w:val="00BF6990"/>
    <w:rsid w:val="00C00070"/>
    <w:rsid w:val="00C0223C"/>
    <w:rsid w:val="00C023B5"/>
    <w:rsid w:val="00C032A0"/>
    <w:rsid w:val="00C039ED"/>
    <w:rsid w:val="00C05C0E"/>
    <w:rsid w:val="00C134B6"/>
    <w:rsid w:val="00C137DB"/>
    <w:rsid w:val="00C14040"/>
    <w:rsid w:val="00C14A38"/>
    <w:rsid w:val="00C1575D"/>
    <w:rsid w:val="00C166BC"/>
    <w:rsid w:val="00C1755C"/>
    <w:rsid w:val="00C17EF0"/>
    <w:rsid w:val="00C239A8"/>
    <w:rsid w:val="00C24E7F"/>
    <w:rsid w:val="00C27740"/>
    <w:rsid w:val="00C35F1C"/>
    <w:rsid w:val="00C370AD"/>
    <w:rsid w:val="00C37341"/>
    <w:rsid w:val="00C4061B"/>
    <w:rsid w:val="00C406CC"/>
    <w:rsid w:val="00C40B58"/>
    <w:rsid w:val="00C40BC2"/>
    <w:rsid w:val="00C41235"/>
    <w:rsid w:val="00C445B4"/>
    <w:rsid w:val="00C46692"/>
    <w:rsid w:val="00C46B78"/>
    <w:rsid w:val="00C50818"/>
    <w:rsid w:val="00C515DD"/>
    <w:rsid w:val="00C54F27"/>
    <w:rsid w:val="00C554D3"/>
    <w:rsid w:val="00C57F2A"/>
    <w:rsid w:val="00C60296"/>
    <w:rsid w:val="00C61064"/>
    <w:rsid w:val="00C637DC"/>
    <w:rsid w:val="00C6403A"/>
    <w:rsid w:val="00C66968"/>
    <w:rsid w:val="00C67B31"/>
    <w:rsid w:val="00C67BB4"/>
    <w:rsid w:val="00C67F5E"/>
    <w:rsid w:val="00C76677"/>
    <w:rsid w:val="00C774C8"/>
    <w:rsid w:val="00C77DD4"/>
    <w:rsid w:val="00C80F5E"/>
    <w:rsid w:val="00C82519"/>
    <w:rsid w:val="00C839D3"/>
    <w:rsid w:val="00C871FE"/>
    <w:rsid w:val="00C872EC"/>
    <w:rsid w:val="00C87526"/>
    <w:rsid w:val="00C87577"/>
    <w:rsid w:val="00C9117C"/>
    <w:rsid w:val="00C91D7F"/>
    <w:rsid w:val="00C9268E"/>
    <w:rsid w:val="00C92972"/>
    <w:rsid w:val="00C946F6"/>
    <w:rsid w:val="00C94B4F"/>
    <w:rsid w:val="00CA05CF"/>
    <w:rsid w:val="00CA08E1"/>
    <w:rsid w:val="00CA142D"/>
    <w:rsid w:val="00CA1DBD"/>
    <w:rsid w:val="00CA2E14"/>
    <w:rsid w:val="00CA3305"/>
    <w:rsid w:val="00CA6701"/>
    <w:rsid w:val="00CA778A"/>
    <w:rsid w:val="00CA7D74"/>
    <w:rsid w:val="00CB01FA"/>
    <w:rsid w:val="00CB1E97"/>
    <w:rsid w:val="00CB2B6E"/>
    <w:rsid w:val="00CB34F1"/>
    <w:rsid w:val="00CB38E5"/>
    <w:rsid w:val="00CB4F7E"/>
    <w:rsid w:val="00CB512B"/>
    <w:rsid w:val="00CB7131"/>
    <w:rsid w:val="00CC2705"/>
    <w:rsid w:val="00CC4532"/>
    <w:rsid w:val="00CD0F85"/>
    <w:rsid w:val="00CD3761"/>
    <w:rsid w:val="00CD5E86"/>
    <w:rsid w:val="00CD6C29"/>
    <w:rsid w:val="00CE0B21"/>
    <w:rsid w:val="00CE1AD7"/>
    <w:rsid w:val="00CE1B42"/>
    <w:rsid w:val="00CE24CE"/>
    <w:rsid w:val="00CE3A94"/>
    <w:rsid w:val="00CE426D"/>
    <w:rsid w:val="00CE42CC"/>
    <w:rsid w:val="00CE4CA3"/>
    <w:rsid w:val="00CE5DAC"/>
    <w:rsid w:val="00CE6FE1"/>
    <w:rsid w:val="00CF053D"/>
    <w:rsid w:val="00CF1C17"/>
    <w:rsid w:val="00CF3793"/>
    <w:rsid w:val="00CF5399"/>
    <w:rsid w:val="00CF6F2F"/>
    <w:rsid w:val="00D00CEE"/>
    <w:rsid w:val="00D01D40"/>
    <w:rsid w:val="00D05065"/>
    <w:rsid w:val="00D052AF"/>
    <w:rsid w:val="00D07761"/>
    <w:rsid w:val="00D11131"/>
    <w:rsid w:val="00D14EE1"/>
    <w:rsid w:val="00D1513F"/>
    <w:rsid w:val="00D17908"/>
    <w:rsid w:val="00D204FD"/>
    <w:rsid w:val="00D20A97"/>
    <w:rsid w:val="00D22392"/>
    <w:rsid w:val="00D2285C"/>
    <w:rsid w:val="00D23902"/>
    <w:rsid w:val="00D259A4"/>
    <w:rsid w:val="00D25E7E"/>
    <w:rsid w:val="00D26B1F"/>
    <w:rsid w:val="00D30972"/>
    <w:rsid w:val="00D33189"/>
    <w:rsid w:val="00D3364F"/>
    <w:rsid w:val="00D34584"/>
    <w:rsid w:val="00D37DF2"/>
    <w:rsid w:val="00D40D43"/>
    <w:rsid w:val="00D40DC1"/>
    <w:rsid w:val="00D461E6"/>
    <w:rsid w:val="00D50681"/>
    <w:rsid w:val="00D50800"/>
    <w:rsid w:val="00D52ABA"/>
    <w:rsid w:val="00D5413B"/>
    <w:rsid w:val="00D5490C"/>
    <w:rsid w:val="00D5574F"/>
    <w:rsid w:val="00D560DA"/>
    <w:rsid w:val="00D5785C"/>
    <w:rsid w:val="00D62C07"/>
    <w:rsid w:val="00D6737E"/>
    <w:rsid w:val="00D70ECB"/>
    <w:rsid w:val="00D72C15"/>
    <w:rsid w:val="00D7572C"/>
    <w:rsid w:val="00D80118"/>
    <w:rsid w:val="00D82352"/>
    <w:rsid w:val="00D84745"/>
    <w:rsid w:val="00D8660F"/>
    <w:rsid w:val="00D909E3"/>
    <w:rsid w:val="00DA1F59"/>
    <w:rsid w:val="00DA5F51"/>
    <w:rsid w:val="00DA6745"/>
    <w:rsid w:val="00DA7A9F"/>
    <w:rsid w:val="00DB0ACF"/>
    <w:rsid w:val="00DB344D"/>
    <w:rsid w:val="00DB6BD7"/>
    <w:rsid w:val="00DC0F8B"/>
    <w:rsid w:val="00DC6188"/>
    <w:rsid w:val="00DC61A5"/>
    <w:rsid w:val="00DC7623"/>
    <w:rsid w:val="00DC7962"/>
    <w:rsid w:val="00DD3113"/>
    <w:rsid w:val="00DD4B55"/>
    <w:rsid w:val="00DD542E"/>
    <w:rsid w:val="00DD5902"/>
    <w:rsid w:val="00DD7068"/>
    <w:rsid w:val="00DD7B71"/>
    <w:rsid w:val="00DF1617"/>
    <w:rsid w:val="00DF2C18"/>
    <w:rsid w:val="00DF2C73"/>
    <w:rsid w:val="00DF4407"/>
    <w:rsid w:val="00E0123F"/>
    <w:rsid w:val="00E01451"/>
    <w:rsid w:val="00E03E1C"/>
    <w:rsid w:val="00E06B21"/>
    <w:rsid w:val="00E0768C"/>
    <w:rsid w:val="00E13002"/>
    <w:rsid w:val="00E2140B"/>
    <w:rsid w:val="00E21549"/>
    <w:rsid w:val="00E23DC2"/>
    <w:rsid w:val="00E26F67"/>
    <w:rsid w:val="00E27F4C"/>
    <w:rsid w:val="00E30445"/>
    <w:rsid w:val="00E31E1F"/>
    <w:rsid w:val="00E40569"/>
    <w:rsid w:val="00E40E07"/>
    <w:rsid w:val="00E42DCF"/>
    <w:rsid w:val="00E43AA4"/>
    <w:rsid w:val="00E45BB5"/>
    <w:rsid w:val="00E4723A"/>
    <w:rsid w:val="00E479ED"/>
    <w:rsid w:val="00E56A93"/>
    <w:rsid w:val="00E56DD3"/>
    <w:rsid w:val="00E61B28"/>
    <w:rsid w:val="00E62A3D"/>
    <w:rsid w:val="00E66625"/>
    <w:rsid w:val="00E67314"/>
    <w:rsid w:val="00E67E69"/>
    <w:rsid w:val="00E7220A"/>
    <w:rsid w:val="00E7336C"/>
    <w:rsid w:val="00E7493E"/>
    <w:rsid w:val="00E74EE0"/>
    <w:rsid w:val="00E75E1A"/>
    <w:rsid w:val="00E76221"/>
    <w:rsid w:val="00E77887"/>
    <w:rsid w:val="00E8025B"/>
    <w:rsid w:val="00E81CB4"/>
    <w:rsid w:val="00E85B8C"/>
    <w:rsid w:val="00E878E7"/>
    <w:rsid w:val="00E911A9"/>
    <w:rsid w:val="00E92162"/>
    <w:rsid w:val="00E94D68"/>
    <w:rsid w:val="00EA4E8D"/>
    <w:rsid w:val="00EA5309"/>
    <w:rsid w:val="00EA62E5"/>
    <w:rsid w:val="00EA6851"/>
    <w:rsid w:val="00EA76D3"/>
    <w:rsid w:val="00EA7927"/>
    <w:rsid w:val="00EB78AC"/>
    <w:rsid w:val="00EB79AE"/>
    <w:rsid w:val="00EC0827"/>
    <w:rsid w:val="00EC0C98"/>
    <w:rsid w:val="00EC6A1D"/>
    <w:rsid w:val="00EC6A2A"/>
    <w:rsid w:val="00EC7494"/>
    <w:rsid w:val="00EC7859"/>
    <w:rsid w:val="00EC7CED"/>
    <w:rsid w:val="00ED0310"/>
    <w:rsid w:val="00ED3AEB"/>
    <w:rsid w:val="00ED455E"/>
    <w:rsid w:val="00ED6B6A"/>
    <w:rsid w:val="00ED79B3"/>
    <w:rsid w:val="00EE03D2"/>
    <w:rsid w:val="00EE2C9D"/>
    <w:rsid w:val="00EE6309"/>
    <w:rsid w:val="00EE70BF"/>
    <w:rsid w:val="00EF0440"/>
    <w:rsid w:val="00EF0541"/>
    <w:rsid w:val="00EF17D2"/>
    <w:rsid w:val="00EF1E3E"/>
    <w:rsid w:val="00EF3E9A"/>
    <w:rsid w:val="00EF63F1"/>
    <w:rsid w:val="00F01154"/>
    <w:rsid w:val="00F1033E"/>
    <w:rsid w:val="00F139A8"/>
    <w:rsid w:val="00F14281"/>
    <w:rsid w:val="00F20397"/>
    <w:rsid w:val="00F32B5E"/>
    <w:rsid w:val="00F4095D"/>
    <w:rsid w:val="00F40E52"/>
    <w:rsid w:val="00F45D42"/>
    <w:rsid w:val="00F52A2A"/>
    <w:rsid w:val="00F53E6C"/>
    <w:rsid w:val="00F57370"/>
    <w:rsid w:val="00F57A63"/>
    <w:rsid w:val="00F60223"/>
    <w:rsid w:val="00F677DA"/>
    <w:rsid w:val="00F70CE9"/>
    <w:rsid w:val="00F761DE"/>
    <w:rsid w:val="00F765F4"/>
    <w:rsid w:val="00F77ABD"/>
    <w:rsid w:val="00F81EBD"/>
    <w:rsid w:val="00F863F1"/>
    <w:rsid w:val="00F8788A"/>
    <w:rsid w:val="00F91FD8"/>
    <w:rsid w:val="00F92444"/>
    <w:rsid w:val="00F95546"/>
    <w:rsid w:val="00F958CC"/>
    <w:rsid w:val="00F962E2"/>
    <w:rsid w:val="00F97C0B"/>
    <w:rsid w:val="00F97EE4"/>
    <w:rsid w:val="00FA359D"/>
    <w:rsid w:val="00FA39D5"/>
    <w:rsid w:val="00FA3BED"/>
    <w:rsid w:val="00FA4875"/>
    <w:rsid w:val="00FA552B"/>
    <w:rsid w:val="00FA62E6"/>
    <w:rsid w:val="00FA7A24"/>
    <w:rsid w:val="00FA7D40"/>
    <w:rsid w:val="00FB12A2"/>
    <w:rsid w:val="00FB2D30"/>
    <w:rsid w:val="00FB48BE"/>
    <w:rsid w:val="00FB4BD8"/>
    <w:rsid w:val="00FB5ABE"/>
    <w:rsid w:val="00FC2BF3"/>
    <w:rsid w:val="00FC2EBF"/>
    <w:rsid w:val="00FC423E"/>
    <w:rsid w:val="00FC5E7C"/>
    <w:rsid w:val="00FC73CA"/>
    <w:rsid w:val="00FD2DE4"/>
    <w:rsid w:val="00FE01EF"/>
    <w:rsid w:val="00FE0379"/>
    <w:rsid w:val="00FE4365"/>
    <w:rsid w:val="00FE597C"/>
    <w:rsid w:val="00FE601A"/>
    <w:rsid w:val="00FF1E19"/>
    <w:rsid w:val="00FF2B35"/>
    <w:rsid w:val="00FF3283"/>
    <w:rsid w:val="00FF632B"/>
    <w:rsid w:val="01166C39"/>
    <w:rsid w:val="011C748B"/>
    <w:rsid w:val="01307DB8"/>
    <w:rsid w:val="01764F01"/>
    <w:rsid w:val="019E0494"/>
    <w:rsid w:val="01BC6EAA"/>
    <w:rsid w:val="01BD387A"/>
    <w:rsid w:val="01EA1306"/>
    <w:rsid w:val="01ED62FC"/>
    <w:rsid w:val="01FD3C72"/>
    <w:rsid w:val="022371D7"/>
    <w:rsid w:val="024D6B6A"/>
    <w:rsid w:val="02585A0D"/>
    <w:rsid w:val="026B46B1"/>
    <w:rsid w:val="029B04E7"/>
    <w:rsid w:val="02B53888"/>
    <w:rsid w:val="02F172AC"/>
    <w:rsid w:val="03073BDC"/>
    <w:rsid w:val="032134E9"/>
    <w:rsid w:val="033F44DC"/>
    <w:rsid w:val="037B5FB5"/>
    <w:rsid w:val="03915DEB"/>
    <w:rsid w:val="03985ACE"/>
    <w:rsid w:val="03D4716A"/>
    <w:rsid w:val="042900C9"/>
    <w:rsid w:val="04A45057"/>
    <w:rsid w:val="04EE0CCB"/>
    <w:rsid w:val="0555228E"/>
    <w:rsid w:val="055870D1"/>
    <w:rsid w:val="056C3AED"/>
    <w:rsid w:val="058A1330"/>
    <w:rsid w:val="059D1E39"/>
    <w:rsid w:val="05E078B3"/>
    <w:rsid w:val="064035FC"/>
    <w:rsid w:val="066F1ED1"/>
    <w:rsid w:val="06D01934"/>
    <w:rsid w:val="070C599D"/>
    <w:rsid w:val="07250881"/>
    <w:rsid w:val="072B5A2B"/>
    <w:rsid w:val="07322F8B"/>
    <w:rsid w:val="07587973"/>
    <w:rsid w:val="075E42FF"/>
    <w:rsid w:val="077D0583"/>
    <w:rsid w:val="077E373B"/>
    <w:rsid w:val="079724D0"/>
    <w:rsid w:val="07A3082E"/>
    <w:rsid w:val="082A352F"/>
    <w:rsid w:val="084343C9"/>
    <w:rsid w:val="084D0ADD"/>
    <w:rsid w:val="084E1E18"/>
    <w:rsid w:val="08581907"/>
    <w:rsid w:val="088E2DBB"/>
    <w:rsid w:val="089D5DBC"/>
    <w:rsid w:val="08B05670"/>
    <w:rsid w:val="08C349D1"/>
    <w:rsid w:val="08C805D7"/>
    <w:rsid w:val="08CC0D13"/>
    <w:rsid w:val="09082337"/>
    <w:rsid w:val="093D6246"/>
    <w:rsid w:val="094A5FC4"/>
    <w:rsid w:val="0993533A"/>
    <w:rsid w:val="09BE4947"/>
    <w:rsid w:val="09F67CD5"/>
    <w:rsid w:val="0A7B50B4"/>
    <w:rsid w:val="0A8A3FFF"/>
    <w:rsid w:val="0B3D5147"/>
    <w:rsid w:val="0B6B20A7"/>
    <w:rsid w:val="0B9E71DF"/>
    <w:rsid w:val="0BB427D1"/>
    <w:rsid w:val="0BCD5C26"/>
    <w:rsid w:val="0BF10670"/>
    <w:rsid w:val="0C6F272A"/>
    <w:rsid w:val="0C9036C8"/>
    <w:rsid w:val="0C9D30C2"/>
    <w:rsid w:val="0CA126F2"/>
    <w:rsid w:val="0CA646D0"/>
    <w:rsid w:val="0CEA509E"/>
    <w:rsid w:val="0D2F3891"/>
    <w:rsid w:val="0D426E1A"/>
    <w:rsid w:val="0D9D65F4"/>
    <w:rsid w:val="0DEE7CA5"/>
    <w:rsid w:val="0E172BD0"/>
    <w:rsid w:val="0E347579"/>
    <w:rsid w:val="0E6A1ECE"/>
    <w:rsid w:val="0E8F0168"/>
    <w:rsid w:val="0E9B4F32"/>
    <w:rsid w:val="0EC34966"/>
    <w:rsid w:val="0F0B4FFE"/>
    <w:rsid w:val="0F123F4C"/>
    <w:rsid w:val="0F1E67DB"/>
    <w:rsid w:val="0F9861DB"/>
    <w:rsid w:val="0FA67E91"/>
    <w:rsid w:val="0FD80B60"/>
    <w:rsid w:val="0FDB5B48"/>
    <w:rsid w:val="10860503"/>
    <w:rsid w:val="109076CE"/>
    <w:rsid w:val="10A50104"/>
    <w:rsid w:val="10A85FA8"/>
    <w:rsid w:val="10B658BE"/>
    <w:rsid w:val="10BA5ACA"/>
    <w:rsid w:val="10C92880"/>
    <w:rsid w:val="10FA22E3"/>
    <w:rsid w:val="115B3410"/>
    <w:rsid w:val="117A531D"/>
    <w:rsid w:val="119D7849"/>
    <w:rsid w:val="11AC1F75"/>
    <w:rsid w:val="122658B9"/>
    <w:rsid w:val="1242135C"/>
    <w:rsid w:val="1256212E"/>
    <w:rsid w:val="12AE3906"/>
    <w:rsid w:val="12C76FC6"/>
    <w:rsid w:val="12CB14EC"/>
    <w:rsid w:val="12D00DD7"/>
    <w:rsid w:val="13344428"/>
    <w:rsid w:val="133C5CE2"/>
    <w:rsid w:val="133F535B"/>
    <w:rsid w:val="13660260"/>
    <w:rsid w:val="136C3D77"/>
    <w:rsid w:val="139D335C"/>
    <w:rsid w:val="13A1683F"/>
    <w:rsid w:val="13C2790D"/>
    <w:rsid w:val="13E5601F"/>
    <w:rsid w:val="141B6583"/>
    <w:rsid w:val="14400B3F"/>
    <w:rsid w:val="1442596B"/>
    <w:rsid w:val="144714E3"/>
    <w:rsid w:val="146A0337"/>
    <w:rsid w:val="14AC00B9"/>
    <w:rsid w:val="14D55B5C"/>
    <w:rsid w:val="14DA3DA1"/>
    <w:rsid w:val="14FC2402"/>
    <w:rsid w:val="1505370E"/>
    <w:rsid w:val="15284EB8"/>
    <w:rsid w:val="155F3495"/>
    <w:rsid w:val="15BB7E2E"/>
    <w:rsid w:val="164B2296"/>
    <w:rsid w:val="16AF6E20"/>
    <w:rsid w:val="17025890"/>
    <w:rsid w:val="17155857"/>
    <w:rsid w:val="173B456E"/>
    <w:rsid w:val="17950508"/>
    <w:rsid w:val="17C72718"/>
    <w:rsid w:val="18537599"/>
    <w:rsid w:val="18551679"/>
    <w:rsid w:val="188D68E8"/>
    <w:rsid w:val="189C69D9"/>
    <w:rsid w:val="18A34D06"/>
    <w:rsid w:val="18A72928"/>
    <w:rsid w:val="18C87C77"/>
    <w:rsid w:val="18F90C9A"/>
    <w:rsid w:val="19010C43"/>
    <w:rsid w:val="19013AC7"/>
    <w:rsid w:val="19084C73"/>
    <w:rsid w:val="194A0457"/>
    <w:rsid w:val="194F6F37"/>
    <w:rsid w:val="196018AD"/>
    <w:rsid w:val="196E5824"/>
    <w:rsid w:val="19713DD4"/>
    <w:rsid w:val="19AF5AFD"/>
    <w:rsid w:val="19BF7943"/>
    <w:rsid w:val="1A054259"/>
    <w:rsid w:val="1A097942"/>
    <w:rsid w:val="1ACB6909"/>
    <w:rsid w:val="1B0152D1"/>
    <w:rsid w:val="1B2B6940"/>
    <w:rsid w:val="1B5838BD"/>
    <w:rsid w:val="1B7F6005"/>
    <w:rsid w:val="1BA05608"/>
    <w:rsid w:val="1BAF4E35"/>
    <w:rsid w:val="1BAF6DD1"/>
    <w:rsid w:val="1BE82D8F"/>
    <w:rsid w:val="1C0F5C4A"/>
    <w:rsid w:val="1C132CB9"/>
    <w:rsid w:val="1C346C57"/>
    <w:rsid w:val="1CAA2901"/>
    <w:rsid w:val="1CB92F89"/>
    <w:rsid w:val="1CCC26CA"/>
    <w:rsid w:val="1D133E21"/>
    <w:rsid w:val="1D3A10D4"/>
    <w:rsid w:val="1D6041FB"/>
    <w:rsid w:val="1D61520F"/>
    <w:rsid w:val="1D786BCA"/>
    <w:rsid w:val="1D805936"/>
    <w:rsid w:val="1D843FB0"/>
    <w:rsid w:val="1DA83A0D"/>
    <w:rsid w:val="1DDF2ACE"/>
    <w:rsid w:val="1E94181D"/>
    <w:rsid w:val="1E9D6342"/>
    <w:rsid w:val="1EBF09C1"/>
    <w:rsid w:val="1ECD4B11"/>
    <w:rsid w:val="1ED879BC"/>
    <w:rsid w:val="1EED420F"/>
    <w:rsid w:val="1EF17B6F"/>
    <w:rsid w:val="1F6170A9"/>
    <w:rsid w:val="1F6200DE"/>
    <w:rsid w:val="1F652C38"/>
    <w:rsid w:val="1F9C5BBE"/>
    <w:rsid w:val="1FE14460"/>
    <w:rsid w:val="20200CA4"/>
    <w:rsid w:val="203063E1"/>
    <w:rsid w:val="204E6676"/>
    <w:rsid w:val="205C6F65"/>
    <w:rsid w:val="205F334B"/>
    <w:rsid w:val="20920951"/>
    <w:rsid w:val="20AA7DFE"/>
    <w:rsid w:val="20CB576A"/>
    <w:rsid w:val="20DC4C14"/>
    <w:rsid w:val="210634E6"/>
    <w:rsid w:val="21241A3D"/>
    <w:rsid w:val="215416B9"/>
    <w:rsid w:val="21822343"/>
    <w:rsid w:val="2194141D"/>
    <w:rsid w:val="2195668B"/>
    <w:rsid w:val="21A2535F"/>
    <w:rsid w:val="21A9601A"/>
    <w:rsid w:val="21AC0BE7"/>
    <w:rsid w:val="21BE044A"/>
    <w:rsid w:val="21BE5AD4"/>
    <w:rsid w:val="21CA2BAC"/>
    <w:rsid w:val="224E2FB0"/>
    <w:rsid w:val="22C67434"/>
    <w:rsid w:val="22C84A78"/>
    <w:rsid w:val="23081A49"/>
    <w:rsid w:val="23460B97"/>
    <w:rsid w:val="23A82A04"/>
    <w:rsid w:val="23D11AFC"/>
    <w:rsid w:val="24210188"/>
    <w:rsid w:val="243066C8"/>
    <w:rsid w:val="24582DBC"/>
    <w:rsid w:val="245C52F8"/>
    <w:rsid w:val="2463385E"/>
    <w:rsid w:val="24B3612C"/>
    <w:rsid w:val="24CB3B1A"/>
    <w:rsid w:val="24DC7AA4"/>
    <w:rsid w:val="250D568B"/>
    <w:rsid w:val="25134332"/>
    <w:rsid w:val="25191F5C"/>
    <w:rsid w:val="251E5D80"/>
    <w:rsid w:val="254C3941"/>
    <w:rsid w:val="25572F6C"/>
    <w:rsid w:val="256555F8"/>
    <w:rsid w:val="257E508F"/>
    <w:rsid w:val="25AA2ADA"/>
    <w:rsid w:val="25BF0A19"/>
    <w:rsid w:val="25CA37BB"/>
    <w:rsid w:val="25CB1963"/>
    <w:rsid w:val="25E06614"/>
    <w:rsid w:val="261A61EB"/>
    <w:rsid w:val="267E150F"/>
    <w:rsid w:val="26805650"/>
    <w:rsid w:val="26BF5712"/>
    <w:rsid w:val="26C46931"/>
    <w:rsid w:val="26F173AA"/>
    <w:rsid w:val="26F24A28"/>
    <w:rsid w:val="26F71EC7"/>
    <w:rsid w:val="274120CE"/>
    <w:rsid w:val="276D22A6"/>
    <w:rsid w:val="27805ED2"/>
    <w:rsid w:val="27AB7429"/>
    <w:rsid w:val="27B806C7"/>
    <w:rsid w:val="27C0593E"/>
    <w:rsid w:val="27F46C2F"/>
    <w:rsid w:val="27F713BD"/>
    <w:rsid w:val="280D0ABD"/>
    <w:rsid w:val="281418B3"/>
    <w:rsid w:val="285C053E"/>
    <w:rsid w:val="28641BC7"/>
    <w:rsid w:val="28706B14"/>
    <w:rsid w:val="28795D57"/>
    <w:rsid w:val="28CB2F20"/>
    <w:rsid w:val="290A7633"/>
    <w:rsid w:val="2945677B"/>
    <w:rsid w:val="296A164B"/>
    <w:rsid w:val="299711A3"/>
    <w:rsid w:val="29FA7F26"/>
    <w:rsid w:val="2A0F0262"/>
    <w:rsid w:val="2A11490E"/>
    <w:rsid w:val="2A24123C"/>
    <w:rsid w:val="2A7903F8"/>
    <w:rsid w:val="2A9E41A6"/>
    <w:rsid w:val="2AD176E8"/>
    <w:rsid w:val="2B774832"/>
    <w:rsid w:val="2BC93350"/>
    <w:rsid w:val="2BCA1C44"/>
    <w:rsid w:val="2BE1364E"/>
    <w:rsid w:val="2C0A1E9D"/>
    <w:rsid w:val="2C4735A9"/>
    <w:rsid w:val="2C5312D1"/>
    <w:rsid w:val="2C6137E6"/>
    <w:rsid w:val="2C9600AF"/>
    <w:rsid w:val="2C9B39D4"/>
    <w:rsid w:val="2CA1029C"/>
    <w:rsid w:val="2CDB2A32"/>
    <w:rsid w:val="2CE74D9A"/>
    <w:rsid w:val="2CE94FBB"/>
    <w:rsid w:val="2D036243"/>
    <w:rsid w:val="2D11052F"/>
    <w:rsid w:val="2D2713FE"/>
    <w:rsid w:val="2D644464"/>
    <w:rsid w:val="2DAA1531"/>
    <w:rsid w:val="2DD31482"/>
    <w:rsid w:val="2DED4837"/>
    <w:rsid w:val="2DF81D7C"/>
    <w:rsid w:val="2DFC12C6"/>
    <w:rsid w:val="2E592BD6"/>
    <w:rsid w:val="2E9F709C"/>
    <w:rsid w:val="2ED53BA8"/>
    <w:rsid w:val="2EED0A13"/>
    <w:rsid w:val="2F031089"/>
    <w:rsid w:val="2F1251F2"/>
    <w:rsid w:val="2F65609A"/>
    <w:rsid w:val="2FBD09F9"/>
    <w:rsid w:val="30660B82"/>
    <w:rsid w:val="30962F3E"/>
    <w:rsid w:val="309F648F"/>
    <w:rsid w:val="30AA51DE"/>
    <w:rsid w:val="30B43BCB"/>
    <w:rsid w:val="30D17E68"/>
    <w:rsid w:val="30E43B67"/>
    <w:rsid w:val="30FF2795"/>
    <w:rsid w:val="310E3D65"/>
    <w:rsid w:val="31481061"/>
    <w:rsid w:val="3164591C"/>
    <w:rsid w:val="317F78A7"/>
    <w:rsid w:val="3199741D"/>
    <w:rsid w:val="31A561FB"/>
    <w:rsid w:val="31AA2223"/>
    <w:rsid w:val="31C32453"/>
    <w:rsid w:val="31C63526"/>
    <w:rsid w:val="31FD180E"/>
    <w:rsid w:val="320B4CF3"/>
    <w:rsid w:val="3214373A"/>
    <w:rsid w:val="32586AD3"/>
    <w:rsid w:val="327F30CF"/>
    <w:rsid w:val="329A6ACE"/>
    <w:rsid w:val="32AB75FA"/>
    <w:rsid w:val="32C64BD3"/>
    <w:rsid w:val="33373F4D"/>
    <w:rsid w:val="334F3544"/>
    <w:rsid w:val="33834A37"/>
    <w:rsid w:val="33A253D1"/>
    <w:rsid w:val="33FF73F9"/>
    <w:rsid w:val="34371266"/>
    <w:rsid w:val="345B1306"/>
    <w:rsid w:val="348D3D32"/>
    <w:rsid w:val="34C215EF"/>
    <w:rsid w:val="34CB6483"/>
    <w:rsid w:val="34EC39C4"/>
    <w:rsid w:val="35191B59"/>
    <w:rsid w:val="35997ED3"/>
    <w:rsid w:val="35B0594E"/>
    <w:rsid w:val="35C47CF3"/>
    <w:rsid w:val="35D5780F"/>
    <w:rsid w:val="360673D5"/>
    <w:rsid w:val="360B1D73"/>
    <w:rsid w:val="360B7EE7"/>
    <w:rsid w:val="36157D72"/>
    <w:rsid w:val="361F3323"/>
    <w:rsid w:val="364A298F"/>
    <w:rsid w:val="364A7B2B"/>
    <w:rsid w:val="3659312E"/>
    <w:rsid w:val="3681117A"/>
    <w:rsid w:val="36E93760"/>
    <w:rsid w:val="3784394E"/>
    <w:rsid w:val="379B41C4"/>
    <w:rsid w:val="37A62041"/>
    <w:rsid w:val="37F25734"/>
    <w:rsid w:val="380A0B96"/>
    <w:rsid w:val="38337F5B"/>
    <w:rsid w:val="385135F5"/>
    <w:rsid w:val="385F665C"/>
    <w:rsid w:val="388E6551"/>
    <w:rsid w:val="38AE3BB0"/>
    <w:rsid w:val="38DC5505"/>
    <w:rsid w:val="391F7D60"/>
    <w:rsid w:val="392E58B6"/>
    <w:rsid w:val="39496AE3"/>
    <w:rsid w:val="3985660B"/>
    <w:rsid w:val="39BB13DA"/>
    <w:rsid w:val="39DB06B3"/>
    <w:rsid w:val="3A127976"/>
    <w:rsid w:val="3A1704BF"/>
    <w:rsid w:val="3A7A43B2"/>
    <w:rsid w:val="3A7E5091"/>
    <w:rsid w:val="3AC2467B"/>
    <w:rsid w:val="3AC253ED"/>
    <w:rsid w:val="3ACB5746"/>
    <w:rsid w:val="3AD258E7"/>
    <w:rsid w:val="3AE826D9"/>
    <w:rsid w:val="3B047F30"/>
    <w:rsid w:val="3B3664CC"/>
    <w:rsid w:val="3B673648"/>
    <w:rsid w:val="3BB20883"/>
    <w:rsid w:val="3BF5659F"/>
    <w:rsid w:val="3C134C38"/>
    <w:rsid w:val="3C394599"/>
    <w:rsid w:val="3C635BF2"/>
    <w:rsid w:val="3C7B540C"/>
    <w:rsid w:val="3C8C0B9E"/>
    <w:rsid w:val="3CE82456"/>
    <w:rsid w:val="3D0527AD"/>
    <w:rsid w:val="3D1D3E8C"/>
    <w:rsid w:val="3D7830E2"/>
    <w:rsid w:val="3D9F080E"/>
    <w:rsid w:val="3DA8275C"/>
    <w:rsid w:val="3DAD7029"/>
    <w:rsid w:val="3DDE6765"/>
    <w:rsid w:val="3E39525D"/>
    <w:rsid w:val="3E441C7D"/>
    <w:rsid w:val="3E7F0554"/>
    <w:rsid w:val="3ECB2614"/>
    <w:rsid w:val="3F104E7C"/>
    <w:rsid w:val="3F105BE8"/>
    <w:rsid w:val="3F1E19C9"/>
    <w:rsid w:val="3F8D2B60"/>
    <w:rsid w:val="3FC956FF"/>
    <w:rsid w:val="400131B8"/>
    <w:rsid w:val="40151C98"/>
    <w:rsid w:val="402B196F"/>
    <w:rsid w:val="40375763"/>
    <w:rsid w:val="406B12D1"/>
    <w:rsid w:val="40903A47"/>
    <w:rsid w:val="409C0D37"/>
    <w:rsid w:val="40A36A71"/>
    <w:rsid w:val="40CB3E39"/>
    <w:rsid w:val="40D07704"/>
    <w:rsid w:val="40EA5ADE"/>
    <w:rsid w:val="410E4736"/>
    <w:rsid w:val="414D38DC"/>
    <w:rsid w:val="4169226D"/>
    <w:rsid w:val="419752E1"/>
    <w:rsid w:val="41A14CA0"/>
    <w:rsid w:val="41BC286E"/>
    <w:rsid w:val="41C577BA"/>
    <w:rsid w:val="41D3631F"/>
    <w:rsid w:val="41F46181"/>
    <w:rsid w:val="41F466FD"/>
    <w:rsid w:val="422B0BD2"/>
    <w:rsid w:val="427E2C9C"/>
    <w:rsid w:val="428434A1"/>
    <w:rsid w:val="42A67A24"/>
    <w:rsid w:val="42B84DF7"/>
    <w:rsid w:val="42D846B9"/>
    <w:rsid w:val="43015D68"/>
    <w:rsid w:val="432B156A"/>
    <w:rsid w:val="433817F8"/>
    <w:rsid w:val="43625625"/>
    <w:rsid w:val="43B97E64"/>
    <w:rsid w:val="43D54F80"/>
    <w:rsid w:val="440D5045"/>
    <w:rsid w:val="4466378D"/>
    <w:rsid w:val="446D6BBF"/>
    <w:rsid w:val="44F5724A"/>
    <w:rsid w:val="4555581D"/>
    <w:rsid w:val="457602B0"/>
    <w:rsid w:val="457D7419"/>
    <w:rsid w:val="45BE6191"/>
    <w:rsid w:val="45BF679F"/>
    <w:rsid w:val="45FE24FC"/>
    <w:rsid w:val="460C5979"/>
    <w:rsid w:val="46AC250E"/>
    <w:rsid w:val="46C56CAD"/>
    <w:rsid w:val="46E90846"/>
    <w:rsid w:val="46FF61C2"/>
    <w:rsid w:val="473430FD"/>
    <w:rsid w:val="4740667C"/>
    <w:rsid w:val="47672D4D"/>
    <w:rsid w:val="4776027E"/>
    <w:rsid w:val="47783DDD"/>
    <w:rsid w:val="47C01792"/>
    <w:rsid w:val="47C215CA"/>
    <w:rsid w:val="47D3679D"/>
    <w:rsid w:val="47DA737E"/>
    <w:rsid w:val="47E73D60"/>
    <w:rsid w:val="47F831A1"/>
    <w:rsid w:val="4808150F"/>
    <w:rsid w:val="482E6C55"/>
    <w:rsid w:val="483841CB"/>
    <w:rsid w:val="48655CDB"/>
    <w:rsid w:val="488A4F97"/>
    <w:rsid w:val="48C169FF"/>
    <w:rsid w:val="48D321B5"/>
    <w:rsid w:val="48DC6BCF"/>
    <w:rsid w:val="4966417F"/>
    <w:rsid w:val="49701211"/>
    <w:rsid w:val="49E9233D"/>
    <w:rsid w:val="4A190059"/>
    <w:rsid w:val="4A2324A9"/>
    <w:rsid w:val="4A2C54FD"/>
    <w:rsid w:val="4A3703C6"/>
    <w:rsid w:val="4AA93BAC"/>
    <w:rsid w:val="4AAD1944"/>
    <w:rsid w:val="4AAE33DD"/>
    <w:rsid w:val="4AC31003"/>
    <w:rsid w:val="4AE93159"/>
    <w:rsid w:val="4AF26901"/>
    <w:rsid w:val="4AF8354A"/>
    <w:rsid w:val="4B0B4636"/>
    <w:rsid w:val="4B101FF1"/>
    <w:rsid w:val="4B3B3C56"/>
    <w:rsid w:val="4B6F5171"/>
    <w:rsid w:val="4B894E29"/>
    <w:rsid w:val="4B8A38B7"/>
    <w:rsid w:val="4BD0339A"/>
    <w:rsid w:val="4BE255AD"/>
    <w:rsid w:val="4C154D1E"/>
    <w:rsid w:val="4C1E62FB"/>
    <w:rsid w:val="4C247E4A"/>
    <w:rsid w:val="4C496DB3"/>
    <w:rsid w:val="4C8E2AE9"/>
    <w:rsid w:val="4D2455C6"/>
    <w:rsid w:val="4D462159"/>
    <w:rsid w:val="4D553300"/>
    <w:rsid w:val="4D5C5FAC"/>
    <w:rsid w:val="4D7D6E2D"/>
    <w:rsid w:val="4DA00E6E"/>
    <w:rsid w:val="4DC605B6"/>
    <w:rsid w:val="4DEC0985"/>
    <w:rsid w:val="4DFB4F20"/>
    <w:rsid w:val="4E27683A"/>
    <w:rsid w:val="4EC74CC4"/>
    <w:rsid w:val="4EF32FFF"/>
    <w:rsid w:val="4F232A9C"/>
    <w:rsid w:val="4F2765B1"/>
    <w:rsid w:val="4F285975"/>
    <w:rsid w:val="4F5E2A8B"/>
    <w:rsid w:val="4F8E43A5"/>
    <w:rsid w:val="4FBF79AC"/>
    <w:rsid w:val="4FE30CD5"/>
    <w:rsid w:val="50290C55"/>
    <w:rsid w:val="50520EBB"/>
    <w:rsid w:val="50607024"/>
    <w:rsid w:val="506A4F14"/>
    <w:rsid w:val="50701CEF"/>
    <w:rsid w:val="50751061"/>
    <w:rsid w:val="507C5FAD"/>
    <w:rsid w:val="507E3A43"/>
    <w:rsid w:val="50BE2993"/>
    <w:rsid w:val="50D63702"/>
    <w:rsid w:val="50F12C37"/>
    <w:rsid w:val="51101AA1"/>
    <w:rsid w:val="512F1290"/>
    <w:rsid w:val="51796EDE"/>
    <w:rsid w:val="51867298"/>
    <w:rsid w:val="518D4602"/>
    <w:rsid w:val="521936F1"/>
    <w:rsid w:val="52195EDF"/>
    <w:rsid w:val="52313387"/>
    <w:rsid w:val="523C02D8"/>
    <w:rsid w:val="52480238"/>
    <w:rsid w:val="525767B4"/>
    <w:rsid w:val="529357CD"/>
    <w:rsid w:val="529526FD"/>
    <w:rsid w:val="52D4333A"/>
    <w:rsid w:val="52E04D27"/>
    <w:rsid w:val="530448FE"/>
    <w:rsid w:val="532E278A"/>
    <w:rsid w:val="53492294"/>
    <w:rsid w:val="539A390F"/>
    <w:rsid w:val="53DB3477"/>
    <w:rsid w:val="54AF6B42"/>
    <w:rsid w:val="54B205EE"/>
    <w:rsid w:val="54E218CB"/>
    <w:rsid w:val="54E44BF8"/>
    <w:rsid w:val="54E80108"/>
    <w:rsid w:val="54FC325C"/>
    <w:rsid w:val="55050D67"/>
    <w:rsid w:val="559C3368"/>
    <w:rsid w:val="55DD6F2A"/>
    <w:rsid w:val="55F72D1E"/>
    <w:rsid w:val="56022FBC"/>
    <w:rsid w:val="562805B1"/>
    <w:rsid w:val="56514CF9"/>
    <w:rsid w:val="56553261"/>
    <w:rsid w:val="565975B0"/>
    <w:rsid w:val="56B41A58"/>
    <w:rsid w:val="56BC356A"/>
    <w:rsid w:val="56D577C5"/>
    <w:rsid w:val="56E23970"/>
    <w:rsid w:val="570856B7"/>
    <w:rsid w:val="573547FD"/>
    <w:rsid w:val="577A3C7D"/>
    <w:rsid w:val="578F220A"/>
    <w:rsid w:val="5798657F"/>
    <w:rsid w:val="57B06157"/>
    <w:rsid w:val="57D503EA"/>
    <w:rsid w:val="57FC07D9"/>
    <w:rsid w:val="58500F22"/>
    <w:rsid w:val="58581669"/>
    <w:rsid w:val="58B82BCC"/>
    <w:rsid w:val="590D1052"/>
    <w:rsid w:val="591C0009"/>
    <w:rsid w:val="593223A7"/>
    <w:rsid w:val="59610A7F"/>
    <w:rsid w:val="59687D7F"/>
    <w:rsid w:val="59912A3B"/>
    <w:rsid w:val="599C51D2"/>
    <w:rsid w:val="59A353EA"/>
    <w:rsid w:val="59A81F44"/>
    <w:rsid w:val="59A95289"/>
    <w:rsid w:val="59AA2571"/>
    <w:rsid w:val="59B15F48"/>
    <w:rsid w:val="59C600B6"/>
    <w:rsid w:val="59D15A81"/>
    <w:rsid w:val="59F13672"/>
    <w:rsid w:val="5A07523D"/>
    <w:rsid w:val="5A2802D2"/>
    <w:rsid w:val="5A553984"/>
    <w:rsid w:val="5ACF0F3A"/>
    <w:rsid w:val="5AD450DC"/>
    <w:rsid w:val="5AEE752B"/>
    <w:rsid w:val="5B7C1136"/>
    <w:rsid w:val="5B7D506F"/>
    <w:rsid w:val="5BD20414"/>
    <w:rsid w:val="5BF54BBF"/>
    <w:rsid w:val="5C6B1600"/>
    <w:rsid w:val="5C8B39C5"/>
    <w:rsid w:val="5C921AD0"/>
    <w:rsid w:val="5CAF7180"/>
    <w:rsid w:val="5CC77483"/>
    <w:rsid w:val="5CCD5BE1"/>
    <w:rsid w:val="5CD94ADB"/>
    <w:rsid w:val="5CE45D66"/>
    <w:rsid w:val="5D182295"/>
    <w:rsid w:val="5D237020"/>
    <w:rsid w:val="5D3D3693"/>
    <w:rsid w:val="5D5F741C"/>
    <w:rsid w:val="5DAE151D"/>
    <w:rsid w:val="5DC07B62"/>
    <w:rsid w:val="5DCD07B3"/>
    <w:rsid w:val="5DFD51DB"/>
    <w:rsid w:val="5E0D36E5"/>
    <w:rsid w:val="5E7510E4"/>
    <w:rsid w:val="5EBD3AB4"/>
    <w:rsid w:val="5ED711BC"/>
    <w:rsid w:val="5F0A3BA8"/>
    <w:rsid w:val="5F1A5A71"/>
    <w:rsid w:val="5F3D3A73"/>
    <w:rsid w:val="5F434754"/>
    <w:rsid w:val="5F9E6C40"/>
    <w:rsid w:val="5FE87018"/>
    <w:rsid w:val="602765D8"/>
    <w:rsid w:val="602F201A"/>
    <w:rsid w:val="605F1B37"/>
    <w:rsid w:val="607C3753"/>
    <w:rsid w:val="609578A8"/>
    <w:rsid w:val="60C30855"/>
    <w:rsid w:val="60CC7FFA"/>
    <w:rsid w:val="610B17E6"/>
    <w:rsid w:val="61421EFD"/>
    <w:rsid w:val="615C2588"/>
    <w:rsid w:val="615C5041"/>
    <w:rsid w:val="61D705BD"/>
    <w:rsid w:val="61DD59E8"/>
    <w:rsid w:val="61E56B7B"/>
    <w:rsid w:val="62420984"/>
    <w:rsid w:val="626C4E5F"/>
    <w:rsid w:val="6271154E"/>
    <w:rsid w:val="627D0863"/>
    <w:rsid w:val="62B70B91"/>
    <w:rsid w:val="63206216"/>
    <w:rsid w:val="63305DFA"/>
    <w:rsid w:val="634B3A82"/>
    <w:rsid w:val="63523344"/>
    <w:rsid w:val="63560707"/>
    <w:rsid w:val="6357067F"/>
    <w:rsid w:val="63D03DEE"/>
    <w:rsid w:val="63DD6E9C"/>
    <w:rsid w:val="641A2384"/>
    <w:rsid w:val="642167EE"/>
    <w:rsid w:val="64CB6601"/>
    <w:rsid w:val="64EF3666"/>
    <w:rsid w:val="64FC1880"/>
    <w:rsid w:val="65094EFF"/>
    <w:rsid w:val="651B3798"/>
    <w:rsid w:val="65370CD5"/>
    <w:rsid w:val="655D49E9"/>
    <w:rsid w:val="65847BBF"/>
    <w:rsid w:val="65B57404"/>
    <w:rsid w:val="65B93A8D"/>
    <w:rsid w:val="65CA1E2C"/>
    <w:rsid w:val="65D975AE"/>
    <w:rsid w:val="661746DD"/>
    <w:rsid w:val="664805B8"/>
    <w:rsid w:val="665E34DC"/>
    <w:rsid w:val="66C053F3"/>
    <w:rsid w:val="66CD03F2"/>
    <w:rsid w:val="66D221EE"/>
    <w:rsid w:val="66DA55D7"/>
    <w:rsid w:val="66F82180"/>
    <w:rsid w:val="670F41E0"/>
    <w:rsid w:val="677D25E8"/>
    <w:rsid w:val="677D265C"/>
    <w:rsid w:val="678A787F"/>
    <w:rsid w:val="67AD6B3A"/>
    <w:rsid w:val="67BD0300"/>
    <w:rsid w:val="67D325C4"/>
    <w:rsid w:val="68031C5B"/>
    <w:rsid w:val="682616B3"/>
    <w:rsid w:val="682A4EAB"/>
    <w:rsid w:val="68316174"/>
    <w:rsid w:val="684D34F9"/>
    <w:rsid w:val="68F533A3"/>
    <w:rsid w:val="690453B7"/>
    <w:rsid w:val="690B53E9"/>
    <w:rsid w:val="690F418B"/>
    <w:rsid w:val="699323D6"/>
    <w:rsid w:val="69B32313"/>
    <w:rsid w:val="69CE4429"/>
    <w:rsid w:val="6A007B68"/>
    <w:rsid w:val="6A0409C8"/>
    <w:rsid w:val="6A700D2B"/>
    <w:rsid w:val="6A741183"/>
    <w:rsid w:val="6A7A2736"/>
    <w:rsid w:val="6A7B4B9C"/>
    <w:rsid w:val="6AA651A8"/>
    <w:rsid w:val="6AEB121D"/>
    <w:rsid w:val="6AFB78C4"/>
    <w:rsid w:val="6B004CFA"/>
    <w:rsid w:val="6B120A68"/>
    <w:rsid w:val="6B586E1F"/>
    <w:rsid w:val="6BAF5652"/>
    <w:rsid w:val="6C6F4FDA"/>
    <w:rsid w:val="6C89456C"/>
    <w:rsid w:val="6CA35C83"/>
    <w:rsid w:val="6CA52710"/>
    <w:rsid w:val="6CAC58B4"/>
    <w:rsid w:val="6D4A2539"/>
    <w:rsid w:val="6D572C9F"/>
    <w:rsid w:val="6D97094D"/>
    <w:rsid w:val="6DAE632B"/>
    <w:rsid w:val="6DF009F6"/>
    <w:rsid w:val="6E217EA6"/>
    <w:rsid w:val="6E2666BC"/>
    <w:rsid w:val="6E2F175D"/>
    <w:rsid w:val="6E605E8D"/>
    <w:rsid w:val="6E8959F5"/>
    <w:rsid w:val="6EBC6999"/>
    <w:rsid w:val="6EDF5FC3"/>
    <w:rsid w:val="6EF90D33"/>
    <w:rsid w:val="6F3F60AD"/>
    <w:rsid w:val="6F7A5D4F"/>
    <w:rsid w:val="6F83312B"/>
    <w:rsid w:val="6F901B66"/>
    <w:rsid w:val="6FA629D4"/>
    <w:rsid w:val="6FA70F58"/>
    <w:rsid w:val="6FD10552"/>
    <w:rsid w:val="6FFA3C1B"/>
    <w:rsid w:val="70014D67"/>
    <w:rsid w:val="70117B8A"/>
    <w:rsid w:val="70360B36"/>
    <w:rsid w:val="704F39D7"/>
    <w:rsid w:val="709E0125"/>
    <w:rsid w:val="70BB2EF0"/>
    <w:rsid w:val="70CC6A1F"/>
    <w:rsid w:val="70CE0A84"/>
    <w:rsid w:val="70E10DC3"/>
    <w:rsid w:val="70F054AD"/>
    <w:rsid w:val="71095983"/>
    <w:rsid w:val="712D59A6"/>
    <w:rsid w:val="71402F8B"/>
    <w:rsid w:val="71475ADB"/>
    <w:rsid w:val="717140CF"/>
    <w:rsid w:val="718F10F7"/>
    <w:rsid w:val="71D55C91"/>
    <w:rsid w:val="71DE13EC"/>
    <w:rsid w:val="722B37CD"/>
    <w:rsid w:val="72305A9A"/>
    <w:rsid w:val="72427DB1"/>
    <w:rsid w:val="726B260D"/>
    <w:rsid w:val="73287A23"/>
    <w:rsid w:val="7331324E"/>
    <w:rsid w:val="733946CF"/>
    <w:rsid w:val="73455C21"/>
    <w:rsid w:val="73710635"/>
    <w:rsid w:val="73BF03A5"/>
    <w:rsid w:val="73D425F7"/>
    <w:rsid w:val="73D6575A"/>
    <w:rsid w:val="73E636C1"/>
    <w:rsid w:val="74600E53"/>
    <w:rsid w:val="746A0CB1"/>
    <w:rsid w:val="74712AFB"/>
    <w:rsid w:val="74994192"/>
    <w:rsid w:val="74A31B48"/>
    <w:rsid w:val="74AD4F44"/>
    <w:rsid w:val="74BC1C78"/>
    <w:rsid w:val="750A2023"/>
    <w:rsid w:val="75171C24"/>
    <w:rsid w:val="75486E94"/>
    <w:rsid w:val="758D04C2"/>
    <w:rsid w:val="75AD0CCB"/>
    <w:rsid w:val="75E4396D"/>
    <w:rsid w:val="75F020A1"/>
    <w:rsid w:val="7615032B"/>
    <w:rsid w:val="76655349"/>
    <w:rsid w:val="7676736A"/>
    <w:rsid w:val="768F29EE"/>
    <w:rsid w:val="76926203"/>
    <w:rsid w:val="76933951"/>
    <w:rsid w:val="771D661B"/>
    <w:rsid w:val="771F7714"/>
    <w:rsid w:val="77207795"/>
    <w:rsid w:val="773903BD"/>
    <w:rsid w:val="773F662A"/>
    <w:rsid w:val="77617342"/>
    <w:rsid w:val="77890DAA"/>
    <w:rsid w:val="77D835AD"/>
    <w:rsid w:val="77EE2F48"/>
    <w:rsid w:val="77F10205"/>
    <w:rsid w:val="784E332E"/>
    <w:rsid w:val="78782A0D"/>
    <w:rsid w:val="78C57EA9"/>
    <w:rsid w:val="791A571A"/>
    <w:rsid w:val="79286132"/>
    <w:rsid w:val="797E392B"/>
    <w:rsid w:val="79A2171F"/>
    <w:rsid w:val="79A252FF"/>
    <w:rsid w:val="79D33056"/>
    <w:rsid w:val="79E119BE"/>
    <w:rsid w:val="79E65B55"/>
    <w:rsid w:val="79E76BC3"/>
    <w:rsid w:val="7A0131C9"/>
    <w:rsid w:val="7A0E722C"/>
    <w:rsid w:val="7A124C14"/>
    <w:rsid w:val="7A475E69"/>
    <w:rsid w:val="7A810C37"/>
    <w:rsid w:val="7ABB10EE"/>
    <w:rsid w:val="7B105707"/>
    <w:rsid w:val="7B302E56"/>
    <w:rsid w:val="7B350C9D"/>
    <w:rsid w:val="7B7D36B3"/>
    <w:rsid w:val="7B9741C7"/>
    <w:rsid w:val="7BD27B88"/>
    <w:rsid w:val="7C0A1E29"/>
    <w:rsid w:val="7C1E1AF3"/>
    <w:rsid w:val="7C26369C"/>
    <w:rsid w:val="7C311CA7"/>
    <w:rsid w:val="7C3933DF"/>
    <w:rsid w:val="7C4A37AF"/>
    <w:rsid w:val="7C590E02"/>
    <w:rsid w:val="7C9E5A24"/>
    <w:rsid w:val="7CAC00CB"/>
    <w:rsid w:val="7CBE2557"/>
    <w:rsid w:val="7CE73C35"/>
    <w:rsid w:val="7D022178"/>
    <w:rsid w:val="7D575412"/>
    <w:rsid w:val="7D62117D"/>
    <w:rsid w:val="7D7E5CB0"/>
    <w:rsid w:val="7D83197B"/>
    <w:rsid w:val="7DB3208B"/>
    <w:rsid w:val="7DB5193A"/>
    <w:rsid w:val="7DB54254"/>
    <w:rsid w:val="7E181D7D"/>
    <w:rsid w:val="7E3E1EF2"/>
    <w:rsid w:val="7E4B337A"/>
    <w:rsid w:val="7E5E744E"/>
    <w:rsid w:val="7E951513"/>
    <w:rsid w:val="7EA96AC5"/>
    <w:rsid w:val="7EB06086"/>
    <w:rsid w:val="7EC118B4"/>
    <w:rsid w:val="7EC83404"/>
    <w:rsid w:val="7ED01B68"/>
    <w:rsid w:val="7EF74FC9"/>
    <w:rsid w:val="7F3745CA"/>
    <w:rsid w:val="7F5A59DA"/>
    <w:rsid w:val="7F653669"/>
    <w:rsid w:val="7F750737"/>
    <w:rsid w:val="7F846976"/>
    <w:rsid w:val="7FA01201"/>
    <w:rsid w:val="7FB901DB"/>
    <w:rsid w:val="7FBB72CB"/>
    <w:rsid w:val="7FE11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outlineLvl w:val="2"/>
    </w:pPr>
    <w:rPr>
      <w:sz w:val="24"/>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40"/>
    <w:semiHidden/>
    <w:qFormat/>
    <w:uiPriority w:val="0"/>
  </w:style>
  <w:style w:type="paragraph" w:styleId="6">
    <w:name w:val="Body Text"/>
    <w:basedOn w:val="1"/>
    <w:qFormat/>
    <w:uiPriority w:val="0"/>
  </w:style>
  <w:style w:type="paragraph" w:styleId="7">
    <w:name w:val="toc 3"/>
    <w:basedOn w:val="1"/>
    <w:next w:val="1"/>
    <w:unhideWhenUsed/>
    <w:qFormat/>
    <w:uiPriority w:val="99"/>
    <w:pPr>
      <w:adjustRightInd w:val="0"/>
      <w:ind w:left="1282" w:leftChars="400" w:hanging="442" w:hangingChars="200"/>
    </w:pPr>
    <w:rPr>
      <w:b/>
      <w:i/>
      <w:sz w:val="20"/>
    </w:rPr>
  </w:style>
  <w:style w:type="paragraph" w:styleId="8">
    <w:name w:val="Balloon Text"/>
    <w:basedOn w:val="1"/>
    <w:link w:val="39"/>
    <w:semiHidden/>
    <w:unhideWhenUsed/>
    <w:qFormat/>
    <w:uiPriority w:val="99"/>
    <w:pPr>
      <w:spacing w:before="0" w:after="0" w:line="240" w:lineRule="auto"/>
    </w:pPr>
    <w:rPr>
      <w:rFonts w:ascii="Microsoft YaHei UI" w:eastAsia="Microsoft YaHei UI"/>
      <w:sz w:val="18"/>
      <w:szCs w:val="18"/>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link w:val="42"/>
    <w:semiHidden/>
    <w:qFormat/>
    <w:uiPriority w:val="0"/>
    <w:pPr>
      <w:tabs>
        <w:tab w:val="center" w:pos="4680"/>
        <w:tab w:val="right" w:pos="9360"/>
      </w:tabs>
      <w:spacing w:before="0" w:after="0" w:line="240" w:lineRule="auto"/>
    </w:pPr>
  </w:style>
  <w:style w:type="paragraph" w:styleId="11">
    <w:name w:val="toc 1"/>
    <w:basedOn w:val="1"/>
    <w:next w:val="1"/>
    <w:unhideWhenUsed/>
    <w:qFormat/>
    <w:uiPriority w:val="39"/>
    <w:pPr>
      <w:tabs>
        <w:tab w:val="decimal" w:pos="0"/>
        <w:tab w:val="right" w:pos="9660"/>
      </w:tabs>
      <w:ind w:right="200" w:rightChars="200"/>
      <w:jc w:val="left"/>
    </w:pPr>
    <w:rPr>
      <w:rFonts w:eastAsiaTheme="minorEastAsia"/>
      <w:b/>
      <w:bCs/>
      <w:i/>
      <w:iCs/>
      <w:sz w:val="20"/>
    </w:rPr>
  </w:style>
  <w:style w:type="paragraph" w:styleId="12">
    <w:name w:val="List"/>
    <w:basedOn w:val="1"/>
    <w:qFormat/>
    <w:uiPriority w:val="0"/>
    <w:pPr>
      <w:ind w:left="568" w:hanging="284"/>
    </w:pPr>
  </w:style>
  <w:style w:type="paragraph" w:styleId="13">
    <w:name w:val="table of figures"/>
    <w:basedOn w:val="1"/>
    <w:next w:val="1"/>
    <w:semiHidden/>
    <w:unhideWhenUsed/>
    <w:qFormat/>
    <w:uiPriority w:val="99"/>
    <w:pPr>
      <w:ind w:left="200" w:leftChars="200" w:hanging="200" w:hangingChars="200"/>
    </w:pPr>
  </w:style>
  <w:style w:type="paragraph" w:styleId="14">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5">
    <w:name w:val="Normal (Web)"/>
    <w:basedOn w:val="1"/>
    <w:unhideWhenUsed/>
    <w:qFormat/>
    <w:uiPriority w:val="99"/>
    <w:pPr>
      <w:spacing w:after="0"/>
      <w:jc w:val="left"/>
    </w:pPr>
    <w:rPr>
      <w:rFonts w:ascii="宋体" w:hAnsi="宋体" w:cs="宋体"/>
      <w:sz w:val="24"/>
      <w:szCs w:val="24"/>
    </w:rPr>
  </w:style>
  <w:style w:type="paragraph" w:styleId="16">
    <w:name w:val="annotation subject"/>
    <w:basedOn w:val="5"/>
    <w:next w:val="5"/>
    <w:link w:val="41"/>
    <w:semiHidden/>
    <w:unhideWhenUsed/>
    <w:qFormat/>
    <w:uiPriority w:val="99"/>
    <w:pPr>
      <w:spacing w:line="240" w:lineRule="auto"/>
    </w:pPr>
    <w:rPr>
      <w:b/>
      <w:bCs/>
      <w:sz w:val="20"/>
    </w:rPr>
  </w:style>
  <w:style w:type="table" w:styleId="18">
    <w:name w:val="Table Grid"/>
    <w:basedOn w:val="1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22"/>
    <w:rPr>
      <w:b/>
      <w:sz w:val="20"/>
      <w:szCs w:val="20"/>
      <w:shd w:val="clear" w:color="auto" w:fill="00A65A"/>
    </w:rPr>
  </w:style>
  <w:style w:type="character" w:styleId="21">
    <w:name w:val="FollowedHyperlink"/>
    <w:basedOn w:val="19"/>
    <w:semiHidden/>
    <w:unhideWhenUsed/>
    <w:qFormat/>
    <w:uiPriority w:val="99"/>
    <w:rPr>
      <w:color w:val="409EFF"/>
      <w:u w:val="none"/>
    </w:rPr>
  </w:style>
  <w:style w:type="character" w:styleId="22">
    <w:name w:val="HTML Definition"/>
    <w:basedOn w:val="19"/>
    <w:semiHidden/>
    <w:unhideWhenUsed/>
    <w:qFormat/>
    <w:uiPriority w:val="99"/>
    <w:rPr>
      <w:i/>
      <w:shd w:val="clear" w:color="auto" w:fill="FFFFFF"/>
    </w:rPr>
  </w:style>
  <w:style w:type="character" w:styleId="23">
    <w:name w:val="Hyperlink"/>
    <w:basedOn w:val="19"/>
    <w:unhideWhenUsed/>
    <w:qFormat/>
    <w:uiPriority w:val="99"/>
    <w:rPr>
      <w:color w:val="409EFF"/>
      <w:u w:val="none"/>
    </w:rPr>
  </w:style>
  <w:style w:type="character" w:styleId="24">
    <w:name w:val="HTML Code"/>
    <w:basedOn w:val="19"/>
    <w:semiHidden/>
    <w:unhideWhenUsed/>
    <w:qFormat/>
    <w:uiPriority w:val="99"/>
    <w:rPr>
      <w:rFonts w:hint="default" w:ascii="Consolas" w:hAnsi="Consolas" w:eastAsia="Consolas" w:cs="Consolas"/>
      <w:color w:val="C7254E"/>
      <w:sz w:val="21"/>
      <w:szCs w:val="21"/>
      <w:shd w:val="clear" w:color="auto" w:fill="F9F2F4"/>
    </w:rPr>
  </w:style>
  <w:style w:type="character" w:styleId="25">
    <w:name w:val="annotation reference"/>
    <w:basedOn w:val="19"/>
    <w:semiHidden/>
    <w:unhideWhenUsed/>
    <w:qFormat/>
    <w:uiPriority w:val="99"/>
    <w:rPr>
      <w:sz w:val="16"/>
      <w:szCs w:val="16"/>
    </w:rPr>
  </w:style>
  <w:style w:type="character" w:styleId="26">
    <w:name w:val="HTML Keyboard"/>
    <w:basedOn w:val="19"/>
    <w:semiHidden/>
    <w:unhideWhenUsed/>
    <w:qFormat/>
    <w:uiPriority w:val="99"/>
    <w:rPr>
      <w:rFonts w:ascii="Consolas" w:hAnsi="Consolas" w:eastAsia="Consolas" w:cs="Consolas"/>
      <w:color w:val="FFFFFF"/>
      <w:sz w:val="21"/>
      <w:szCs w:val="21"/>
      <w:shd w:val="clear" w:color="auto" w:fill="333333"/>
    </w:rPr>
  </w:style>
  <w:style w:type="character" w:styleId="27">
    <w:name w:val="HTML Sample"/>
    <w:basedOn w:val="19"/>
    <w:semiHidden/>
    <w:unhideWhenUsed/>
    <w:qFormat/>
    <w:uiPriority w:val="99"/>
    <w:rPr>
      <w:rFonts w:hint="default" w:ascii="Consolas" w:hAnsi="Consolas" w:eastAsia="Consolas" w:cs="Consolas"/>
      <w:sz w:val="21"/>
      <w:szCs w:val="21"/>
    </w:rPr>
  </w:style>
  <w:style w:type="paragraph" w:customStyle="1" w:styleId="28">
    <w:name w:val="YJ-Observation"/>
    <w:basedOn w:val="29"/>
    <w:qFormat/>
    <w:uiPriority w:val="0"/>
    <w:pPr>
      <w:numPr>
        <w:ilvl w:val="0"/>
        <w:numId w:val="2"/>
      </w:numPr>
      <w:tabs>
        <w:tab w:val="left" w:pos="420"/>
      </w:tabs>
    </w:pPr>
  </w:style>
  <w:style w:type="paragraph" w:customStyle="1" w:styleId="29">
    <w:name w:val="YJ-Proposal"/>
    <w:basedOn w:val="1"/>
    <w:qFormat/>
    <w:uiPriority w:val="0"/>
    <w:pPr>
      <w:numPr>
        <w:ilvl w:val="0"/>
        <w:numId w:val="3"/>
      </w:numPr>
      <w:spacing w:before="120" w:after="120"/>
    </w:pPr>
    <w:rPr>
      <w:rFonts w:eastAsiaTheme="minorEastAsia"/>
      <w:b/>
      <w:bCs/>
      <w:szCs w:val="21"/>
      <w:lang w:eastAsia="en-US"/>
    </w:rPr>
  </w:style>
  <w:style w:type="paragraph" w:customStyle="1" w:styleId="30">
    <w:name w:val="sub-proposal"/>
    <w:basedOn w:val="29"/>
    <w:next w:val="1"/>
    <w:qFormat/>
    <w:uiPriority w:val="0"/>
    <w:pPr>
      <w:numPr>
        <w:numId w:val="4"/>
      </w:numPr>
      <w:tabs>
        <w:tab w:val="left" w:pos="420"/>
        <w:tab w:val="left" w:pos="807"/>
      </w:tabs>
      <w:ind w:left="862" w:leftChars="200" w:hanging="442" w:hangingChars="200"/>
    </w:pPr>
  </w:style>
  <w:style w:type="paragraph" w:customStyle="1" w:styleId="31">
    <w:name w:val="sub-observation"/>
    <w:basedOn w:val="30"/>
    <w:next w:val="1"/>
    <w:qFormat/>
    <w:uiPriority w:val="0"/>
  </w:style>
  <w:style w:type="paragraph" w:customStyle="1" w:styleId="32">
    <w:name w:val="3rd level proposal"/>
    <w:basedOn w:val="30"/>
    <w:next w:val="1"/>
    <w:qFormat/>
    <w:uiPriority w:val="0"/>
    <w:pPr>
      <w:numPr>
        <w:ilvl w:val="0"/>
        <w:numId w:val="5"/>
      </w:numPr>
      <w:ind w:left="1282" w:leftChars="400" w:hanging="442"/>
    </w:pPr>
  </w:style>
  <w:style w:type="paragraph" w:customStyle="1" w:styleId="33">
    <w:name w:val="3rd level observation"/>
    <w:basedOn w:val="31"/>
    <w:qFormat/>
    <w:uiPriority w:val="0"/>
    <w:pPr>
      <w:numPr>
        <w:ilvl w:val="0"/>
        <w:numId w:val="6"/>
      </w:numPr>
      <w:ind w:left="1282" w:leftChars="400" w:hanging="442"/>
    </w:pPr>
  </w:style>
  <w:style w:type="paragraph" w:customStyle="1" w:styleId="34">
    <w:name w:val="References"/>
    <w:basedOn w:val="1"/>
    <w:qFormat/>
    <w:uiPriority w:val="0"/>
    <w:pPr>
      <w:numPr>
        <w:ilvl w:val="0"/>
        <w:numId w:val="7"/>
      </w:numPr>
      <w:spacing w:after="60"/>
    </w:pPr>
    <w:rPr>
      <w:szCs w:val="16"/>
    </w:rPr>
  </w:style>
  <w:style w:type="paragraph" w:styleId="35">
    <w:name w:val="List Paragraph"/>
    <w:basedOn w:val="1"/>
    <w:qFormat/>
    <w:uiPriority w:val="34"/>
    <w:pPr>
      <w:spacing w:beforeLines="0" w:after="0" w:line="240" w:lineRule="auto"/>
      <w:ind w:left="720"/>
      <w:contextualSpacing/>
    </w:pPr>
    <w:rPr>
      <w:rFonts w:eastAsia="Times New Roman"/>
      <w:sz w:val="24"/>
      <w:szCs w:val="24"/>
    </w:rPr>
  </w:style>
  <w:style w:type="paragraph" w:customStyle="1" w:styleId="36">
    <w:name w:val="样式1"/>
    <w:basedOn w:val="1"/>
    <w:qFormat/>
    <w:uiPriority w:val="0"/>
  </w:style>
  <w:style w:type="paragraph" w:customStyle="1" w:styleId="37">
    <w:name w:val="样式2"/>
    <w:basedOn w:val="1"/>
    <w:qFormat/>
    <w:uiPriority w:val="0"/>
  </w:style>
  <w:style w:type="character" w:customStyle="1" w:styleId="38">
    <w:name w:val="apple-converted-space"/>
    <w:basedOn w:val="19"/>
    <w:qFormat/>
    <w:uiPriority w:val="0"/>
  </w:style>
  <w:style w:type="character" w:customStyle="1" w:styleId="39">
    <w:name w:val="批注框文本 Char"/>
    <w:basedOn w:val="19"/>
    <w:link w:val="8"/>
    <w:semiHidden/>
    <w:qFormat/>
    <w:uiPriority w:val="99"/>
    <w:rPr>
      <w:rFonts w:ascii="Microsoft YaHei UI" w:eastAsia="Microsoft YaHei UI"/>
      <w:kern w:val="2"/>
      <w:sz w:val="18"/>
      <w:szCs w:val="18"/>
    </w:rPr>
  </w:style>
  <w:style w:type="character" w:customStyle="1" w:styleId="40">
    <w:name w:val="批注文字 Char"/>
    <w:basedOn w:val="19"/>
    <w:link w:val="5"/>
    <w:semiHidden/>
    <w:qFormat/>
    <w:uiPriority w:val="0"/>
    <w:rPr>
      <w:kern w:val="2"/>
      <w:sz w:val="21"/>
    </w:rPr>
  </w:style>
  <w:style w:type="character" w:customStyle="1" w:styleId="41">
    <w:name w:val="批注主题 Char"/>
    <w:basedOn w:val="40"/>
    <w:link w:val="16"/>
    <w:semiHidden/>
    <w:qFormat/>
    <w:uiPriority w:val="99"/>
    <w:rPr>
      <w:b/>
      <w:bCs/>
      <w:kern w:val="2"/>
      <w:sz w:val="21"/>
    </w:rPr>
  </w:style>
  <w:style w:type="character" w:customStyle="1" w:styleId="42">
    <w:name w:val="页眉 Char"/>
    <w:basedOn w:val="19"/>
    <w:link w:val="10"/>
    <w:semiHidden/>
    <w:qFormat/>
    <w:uiPriority w:val="0"/>
    <w:rPr>
      <w:kern w:val="2"/>
      <w:sz w:val="21"/>
    </w:rPr>
  </w:style>
  <w:style w:type="character" w:customStyle="1" w:styleId="43">
    <w:name w:val="badge58"/>
    <w:basedOn w:val="19"/>
    <w:qFormat/>
    <w:uiPriority w:val="0"/>
    <w:rPr>
      <w:b/>
      <w:color w:val="FFFFFF"/>
      <w:sz w:val="24"/>
      <w:szCs w:val="24"/>
      <w:shd w:val="clear" w:color="auto" w:fill="001F3F"/>
    </w:rPr>
  </w:style>
  <w:style w:type="character" w:customStyle="1" w:styleId="44">
    <w:name w:val="hover16"/>
    <w:basedOn w:val="19"/>
    <w:qFormat/>
    <w:uiPriority w:val="0"/>
    <w:rPr>
      <w:shd w:val="clear" w:color="auto" w:fill="EEEEEE"/>
    </w:rPr>
  </w:style>
  <w:style w:type="character" w:customStyle="1" w:styleId="45">
    <w:name w:val="active3"/>
    <w:basedOn w:val="19"/>
    <w:qFormat/>
    <w:uiPriority w:val="0"/>
    <w:rPr>
      <w:color w:val="FFFFFF"/>
      <w:shd w:val="clear" w:color="auto" w:fill="006DCC"/>
    </w:rPr>
  </w:style>
  <w:style w:type="character" w:customStyle="1" w:styleId="46">
    <w:name w:val="old"/>
    <w:basedOn w:val="19"/>
    <w:qFormat/>
    <w:uiPriority w:val="0"/>
    <w:rPr>
      <w:color w:val="999999"/>
    </w:rPr>
  </w:style>
  <w:style w:type="character" w:customStyle="1" w:styleId="47">
    <w:name w:val="via1"/>
    <w:basedOn w:val="19"/>
    <w:qFormat/>
    <w:uiPriority w:val="0"/>
    <w:rPr>
      <w:color w:val="959595"/>
    </w:rPr>
  </w:style>
  <w:style w:type="character" w:customStyle="1" w:styleId="48">
    <w:name w:val="keyword1"/>
    <w:basedOn w:val="19"/>
    <w:qFormat/>
    <w:uiPriority w:val="0"/>
  </w:style>
  <w:style w:type="character" w:customStyle="1" w:styleId="49">
    <w:name w:val="badge57"/>
    <w:basedOn w:val="19"/>
    <w:qFormat/>
    <w:uiPriority w:val="0"/>
    <w:rPr>
      <w:b/>
      <w:color w:val="FFFFFF"/>
      <w:sz w:val="24"/>
      <w:szCs w:val="24"/>
      <w:shd w:val="clear" w:color="auto" w:fill="001F3F"/>
    </w:rPr>
  </w:style>
  <w:style w:type="character" w:customStyle="1" w:styleId="50">
    <w:name w:val="active1"/>
    <w:basedOn w:val="19"/>
    <w:qFormat/>
    <w:uiPriority w:val="0"/>
    <w:rPr>
      <w:color w:val="FFFFFF"/>
      <w:shd w:val="clear" w:color="auto" w:fill="006DCC"/>
    </w:rPr>
  </w:style>
  <w:style w:type="character" w:customStyle="1" w:styleId="51">
    <w:name w:val="badge56"/>
    <w:basedOn w:val="19"/>
    <w:qFormat/>
    <w:uiPriority w:val="0"/>
    <w:rPr>
      <w:b/>
      <w:color w:val="FFFFFF"/>
      <w:sz w:val="24"/>
      <w:szCs w:val="24"/>
      <w:shd w:val="clear" w:color="auto" w:fill="001F3F"/>
    </w:rPr>
  </w:style>
  <w:style w:type="character" w:customStyle="1" w:styleId="52">
    <w:name w:val="hover14"/>
    <w:basedOn w:val="19"/>
    <w:qFormat/>
    <w:uiPriority w:val="0"/>
    <w:rPr>
      <w:shd w:val="clear" w:color="auto" w:fill="EEEEEE"/>
    </w:rPr>
  </w:style>
  <w:style w:type="paragraph" w:customStyle="1" w:styleId="53">
    <w:name w:val="修订1"/>
    <w:hidden/>
    <w:semiHidden/>
    <w:qFormat/>
    <w:uiPriority w:val="99"/>
    <w:pPr>
      <w:spacing w:after="0" w:line="240" w:lineRule="auto"/>
    </w:pPr>
    <w:rPr>
      <w:rFonts w:ascii="Times New Roman" w:hAnsi="Times New Roman" w:eastAsia="宋体" w:cs="Times New Roman"/>
      <w:kern w:val="2"/>
      <w:sz w:val="21"/>
      <w:lang w:val="en-US" w:eastAsia="zh-CN" w:bidi="ar-SA"/>
    </w:rPr>
  </w:style>
  <w:style w:type="character" w:customStyle="1" w:styleId="54">
    <w:name w:val="hover15"/>
    <w:basedOn w:val="19"/>
    <w:qFormat/>
    <w:uiPriority w:val="0"/>
    <w:rPr>
      <w:shd w:val="clear" w:color="auto" w:fill="EEEEEE"/>
    </w:rPr>
  </w:style>
  <w:style w:type="paragraph" w:customStyle="1" w:styleId="55">
    <w:name w:val="Default"/>
    <w:unhideWhenUsed/>
    <w:qFormat/>
    <w:uiPriority w:val="99"/>
    <w:pPr>
      <w:widowControl w:val="0"/>
      <w:autoSpaceDE w:val="0"/>
      <w:autoSpaceDN w:val="0"/>
      <w:adjustRightInd w:val="0"/>
      <w:spacing w:after="160" w:line="259" w:lineRule="auto"/>
    </w:pPr>
    <w:rPr>
      <w:rFonts w:hint="eastAsia" w:ascii="Times New Roman" w:hAnsi="Times New Roman" w:eastAsia="Times New Roman" w:cs="Times New Roman"/>
      <w:color w:val="000000"/>
      <w:sz w:val="24"/>
      <w:lang w:val="en-US" w:eastAsia="zh-CN" w:bidi="ar-SA"/>
    </w:rPr>
  </w:style>
  <w:style w:type="character" w:customStyle="1" w:styleId="56">
    <w:name w:val="hover"/>
    <w:basedOn w:val="19"/>
    <w:qFormat/>
    <w:uiPriority w:val="0"/>
    <w:rPr>
      <w:shd w:val="clear" w:color="auto" w:fill="EEEEEE"/>
    </w:rPr>
  </w:style>
  <w:style w:type="paragraph" w:customStyle="1" w:styleId="57">
    <w:name w:val="TAL"/>
    <w:basedOn w:val="1"/>
    <w:qFormat/>
    <w:uiPriority w:val="0"/>
    <w:pPr>
      <w:keepNext/>
      <w:keepLines/>
      <w:spacing w:after="0"/>
    </w:pPr>
    <w:rPr>
      <w:rFonts w:ascii="Arial" w:hAnsi="Arial"/>
      <w:sz w:val="18"/>
    </w:rPr>
  </w:style>
  <w:style w:type="character" w:customStyle="1" w:styleId="58">
    <w:name w:val="badge55"/>
    <w:basedOn w:val="19"/>
    <w:qFormat/>
    <w:uiPriority w:val="0"/>
    <w:rPr>
      <w:b/>
      <w:color w:val="FFFFFF"/>
      <w:sz w:val="24"/>
      <w:szCs w:val="24"/>
      <w:shd w:val="clear" w:color="auto" w:fill="001F3F"/>
    </w:rPr>
  </w:style>
  <w:style w:type="character" w:customStyle="1" w:styleId="59">
    <w:name w:val="active"/>
    <w:basedOn w:val="19"/>
    <w:qFormat/>
    <w:uiPriority w:val="0"/>
    <w:rPr>
      <w:color w:val="FFFFFF"/>
      <w:shd w:val="clear" w:color="auto" w:fill="006DCC"/>
    </w:rPr>
  </w:style>
  <w:style w:type="character" w:customStyle="1" w:styleId="60">
    <w:name w:val="badge"/>
    <w:basedOn w:val="19"/>
    <w:qFormat/>
    <w:uiPriority w:val="0"/>
    <w:rPr>
      <w:b/>
      <w:color w:val="FFFFFF"/>
      <w:sz w:val="24"/>
      <w:szCs w:val="24"/>
      <w:shd w:val="clear" w:color="auto" w:fill="001F3F"/>
    </w:rPr>
  </w:style>
  <w:style w:type="paragraph" w:customStyle="1" w:styleId="61">
    <w:name w:val="B1"/>
    <w:basedOn w:val="12"/>
    <w:link w:val="62"/>
    <w:qFormat/>
    <w:uiPriority w:val="0"/>
  </w:style>
  <w:style w:type="character" w:customStyle="1" w:styleId="62">
    <w:name w:val="B1 (文字)"/>
    <w:link w:val="61"/>
    <w:uiPriority w:val="0"/>
    <w:rPr>
      <w:kern w:val="2"/>
      <w:sz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AE326D-0014-4461-B15E-B84CF2818984}">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9</Pages>
  <Words>3275</Words>
  <Characters>18671</Characters>
  <Lines>155</Lines>
  <Paragraphs>43</Paragraphs>
  <TotalTime>3336</TotalTime>
  <ScaleCrop>false</ScaleCrop>
  <LinksUpToDate>false</LinksUpToDate>
  <CharactersWithSpaces>21903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2019-04-08T03:09:00Z</dcterms:created>
  <dc:creator> </dc:creator>
  <cp:lastModifiedBy>ZTE</cp:lastModifiedBy>
  <dcterms:modified xsi:type="dcterms:W3CDTF">2021-11-06T01:46:49Z</dcterms:modified>
  <cp:revision>1017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